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9E591" w14:textId="77777777" w:rsidR="007079F7" w:rsidRDefault="007079F7" w:rsidP="002D4ADE">
      <w:pPr>
        <w:jc w:val="right"/>
        <w:rPr>
          <w:rFonts w:ascii="Arial" w:hAnsi="Arial" w:cs="Arial"/>
          <w:b/>
          <w:color w:val="000000" w:themeColor="text1"/>
          <w:sz w:val="16"/>
          <w:szCs w:val="16"/>
          <w:lang w:val="es-ES" w:eastAsia="es-ES"/>
        </w:rPr>
      </w:pPr>
    </w:p>
    <w:p w14:paraId="3AAFB238" w14:textId="77777777" w:rsidR="007079F7" w:rsidRDefault="007079F7" w:rsidP="002D4ADE">
      <w:pPr>
        <w:jc w:val="right"/>
        <w:rPr>
          <w:rFonts w:ascii="Arial" w:hAnsi="Arial" w:cs="Arial"/>
          <w:b/>
          <w:color w:val="000000" w:themeColor="text1"/>
          <w:sz w:val="16"/>
          <w:szCs w:val="16"/>
          <w:lang w:val="es-ES" w:eastAsia="es-ES"/>
        </w:rPr>
      </w:pPr>
    </w:p>
    <w:p w14:paraId="2D8AD0B8" w14:textId="77777777" w:rsidR="007079F7" w:rsidRDefault="007079F7" w:rsidP="002D4ADE">
      <w:pPr>
        <w:jc w:val="right"/>
        <w:rPr>
          <w:rFonts w:ascii="Arial" w:hAnsi="Arial" w:cs="Arial"/>
          <w:b/>
          <w:color w:val="000000" w:themeColor="text1"/>
          <w:sz w:val="16"/>
          <w:szCs w:val="16"/>
          <w:lang w:val="es-ES" w:eastAsia="es-ES"/>
        </w:rPr>
      </w:pPr>
    </w:p>
    <w:p w14:paraId="639D0314" w14:textId="77777777" w:rsidR="007079F7" w:rsidRDefault="007079F7" w:rsidP="002D4ADE">
      <w:pPr>
        <w:jc w:val="right"/>
        <w:rPr>
          <w:rFonts w:ascii="Arial" w:hAnsi="Arial" w:cs="Arial"/>
          <w:b/>
          <w:color w:val="000000" w:themeColor="text1"/>
          <w:sz w:val="16"/>
          <w:szCs w:val="16"/>
          <w:lang w:val="es-ES" w:eastAsia="es-ES"/>
        </w:rPr>
      </w:pPr>
    </w:p>
    <w:p w14:paraId="5EE48712" w14:textId="4175E9F4" w:rsidR="002D4ADE" w:rsidRPr="00254E6E" w:rsidRDefault="002D4ADE" w:rsidP="002D4ADE">
      <w:pPr>
        <w:jc w:val="right"/>
        <w:rPr>
          <w:rFonts w:ascii="Arial" w:hAnsi="Arial" w:cs="Arial"/>
          <w:b/>
          <w:color w:val="000000" w:themeColor="text1"/>
          <w:sz w:val="16"/>
          <w:szCs w:val="16"/>
          <w:lang w:val="es-ES" w:eastAsia="es-ES"/>
        </w:rPr>
      </w:pPr>
      <w:r w:rsidRPr="00254E6E">
        <w:rPr>
          <w:rFonts w:ascii="Arial" w:hAnsi="Arial" w:cs="Arial"/>
          <w:b/>
          <w:color w:val="000000" w:themeColor="text1"/>
          <w:sz w:val="16"/>
          <w:szCs w:val="16"/>
          <w:lang w:val="es-ES" w:eastAsia="es-ES"/>
        </w:rPr>
        <w:t>CCE-DES-FM-17</w:t>
      </w:r>
    </w:p>
    <w:p w14:paraId="78C48099" w14:textId="77777777" w:rsidR="00E344FB" w:rsidRPr="00254E6E" w:rsidRDefault="00E344FB" w:rsidP="003D1995">
      <w:pPr>
        <w:jc w:val="both"/>
        <w:rPr>
          <w:rFonts w:ascii="Arial" w:eastAsia="Calibri" w:hAnsi="Arial" w:cs="Arial"/>
          <w:b/>
          <w:color w:val="000000" w:themeColor="text1"/>
          <w:sz w:val="22"/>
          <w:lang w:val="es-ES"/>
        </w:rPr>
      </w:pPr>
    </w:p>
    <w:p w14:paraId="15596782" w14:textId="25865429" w:rsidR="003D1995" w:rsidRPr="00254E6E" w:rsidRDefault="003D1995" w:rsidP="003D1995">
      <w:pPr>
        <w:jc w:val="both"/>
        <w:rPr>
          <w:rFonts w:ascii="Arial" w:eastAsia="Calibri" w:hAnsi="Arial" w:cs="Arial"/>
          <w:b/>
          <w:color w:val="000000" w:themeColor="text1"/>
          <w:sz w:val="22"/>
          <w:lang w:val="es-ES"/>
        </w:rPr>
      </w:pPr>
      <w:r w:rsidRPr="00254E6E">
        <w:rPr>
          <w:rFonts w:ascii="Arial" w:eastAsia="Calibri" w:hAnsi="Arial" w:cs="Arial"/>
          <w:b/>
          <w:color w:val="000000" w:themeColor="text1"/>
          <w:sz w:val="22"/>
          <w:lang w:val="es-ES"/>
        </w:rPr>
        <w:t>SOCIEDADES NUEVAS ‒ Experiencia ‒ Inferior a tres años ‒ Requisitos habilitantes ‒ Desarrollo de la empresa</w:t>
      </w:r>
    </w:p>
    <w:p w14:paraId="21E49BE1" w14:textId="77777777" w:rsidR="003D1995" w:rsidRPr="00254E6E" w:rsidRDefault="003D1995" w:rsidP="003D1995">
      <w:pPr>
        <w:jc w:val="both"/>
        <w:rPr>
          <w:rFonts w:ascii="Arial" w:eastAsia="Calibri" w:hAnsi="Arial" w:cs="Arial"/>
          <w:color w:val="000000" w:themeColor="text1"/>
          <w:sz w:val="20"/>
          <w:szCs w:val="20"/>
          <w:lang w:val="es-ES"/>
        </w:rPr>
      </w:pPr>
    </w:p>
    <w:p w14:paraId="3DD33684" w14:textId="77777777" w:rsidR="003C5C49" w:rsidRDefault="003C5C49" w:rsidP="00E34A1C">
      <w:pPr>
        <w:spacing w:after="120"/>
        <w:jc w:val="both"/>
        <w:rPr>
          <w:rFonts w:ascii="Arial" w:eastAsia="Calibri" w:hAnsi="Arial" w:cs="Arial"/>
          <w:color w:val="000000" w:themeColor="text1"/>
          <w:sz w:val="20"/>
          <w:szCs w:val="20"/>
          <w:lang w:val="es-ES"/>
        </w:rPr>
      </w:pPr>
      <w:r w:rsidRPr="003C5C49">
        <w:rPr>
          <w:rFonts w:ascii="Arial" w:eastAsia="Calibri" w:hAnsi="Arial" w:cs="Arial"/>
          <w:color w:val="000000" w:themeColor="text1"/>
          <w:sz w:val="20"/>
          <w:szCs w:val="20"/>
          <w:lang w:val="es-ES"/>
        </w:rPr>
        <w:t xml:space="preserve">La parte final del numeral 2.5 del artículo citado incluye una medida diferenciada para las personas jurídicas cuya constitución sea menor a 3 años al momento del registro. Esta prerrogativa, que puede entenderse como una medida de fomento a la participación de pequeños oferentes en la contratación estatal, permite que las sociedades relativamente nuevas ─con menos de 3 años de constitución─ puedan acreditar como experiencia en el RUP la de sus accionistas, socios o constituyentes. A pesar de que la experiencia es inherente a la persona que la ha obtenido, razón por la cual es intransferible en virtud de su carácter personalísimo, por disposición legal o reglamentaria, en casos excepcionales, como el descrito por el artículo mencionado, se aplica de otra forma. </w:t>
      </w:r>
    </w:p>
    <w:p w14:paraId="67111E07" w14:textId="13B264D7" w:rsidR="003D1995" w:rsidRPr="00254E6E" w:rsidRDefault="003D1995" w:rsidP="00E34A1C">
      <w:pPr>
        <w:spacing w:after="120"/>
        <w:jc w:val="both"/>
        <w:rPr>
          <w:rFonts w:ascii="Arial" w:eastAsia="Calibri" w:hAnsi="Arial" w:cs="Arial"/>
          <w:color w:val="000000" w:themeColor="text1"/>
          <w:sz w:val="20"/>
          <w:szCs w:val="20"/>
          <w:lang w:val="es-ES"/>
        </w:rPr>
      </w:pPr>
      <w:r w:rsidRPr="00254E6E">
        <w:rPr>
          <w:rFonts w:ascii="Arial" w:eastAsia="Calibri" w:hAnsi="Arial" w:cs="Arial"/>
          <w:color w:val="000000" w:themeColor="text1"/>
          <w:sz w:val="20"/>
          <w:szCs w:val="20"/>
          <w:lang w:val="es-ES"/>
        </w:rPr>
        <w:t xml:space="preserve">[…] </w:t>
      </w:r>
    </w:p>
    <w:p w14:paraId="76859C59" w14:textId="657BF3DF" w:rsidR="003D1995" w:rsidRDefault="003C5C49" w:rsidP="003D1995">
      <w:pPr>
        <w:jc w:val="both"/>
        <w:rPr>
          <w:rFonts w:ascii="Arial" w:eastAsia="Calibri" w:hAnsi="Arial" w:cs="Arial"/>
          <w:color w:val="000000" w:themeColor="text1"/>
          <w:sz w:val="20"/>
          <w:szCs w:val="20"/>
          <w:lang w:val="es-ES"/>
        </w:rPr>
      </w:pPr>
      <w:r w:rsidRPr="003C5C49">
        <w:rPr>
          <w:rFonts w:ascii="Arial" w:eastAsia="Calibri" w:hAnsi="Arial" w:cs="Arial"/>
          <w:color w:val="000000" w:themeColor="text1"/>
          <w:sz w:val="20"/>
          <w:szCs w:val="20"/>
          <w:lang w:val="es-ES"/>
        </w:rPr>
        <w:t>La finalidad de esta norma es permitir que las sociedades que no cuentan con la experiencia suficiente para contratar con el Estado puedan apoyarse en la experiencia de sus accionistas, socios o constituyentes con el fin de incentivar la competencia en la contratación estatal. Así las cosas, el socio transfiere la experiencia adquirida directamente a la sociedad de la que es parte, para que esta, como persona jurídica independiente, pueda cumplir con los requisitos habilitantes o puntuables que establezcan las entidades estatales en sus procesos de contratación, y de esta forma promover el desarrollo de la empresa y la pluralidad de oferentes en la contratación pública.</w:t>
      </w:r>
    </w:p>
    <w:p w14:paraId="5F47937E" w14:textId="77777777" w:rsidR="003C5C49" w:rsidRPr="00254E6E" w:rsidRDefault="003C5C49" w:rsidP="003D1995">
      <w:pPr>
        <w:jc w:val="both"/>
        <w:rPr>
          <w:rFonts w:ascii="Arial" w:hAnsi="Arial" w:cs="Arial"/>
          <w:b/>
          <w:sz w:val="22"/>
          <w:lang w:val="es-ES"/>
        </w:rPr>
      </w:pPr>
    </w:p>
    <w:p w14:paraId="7ECC04EE" w14:textId="77777777" w:rsidR="003D1995" w:rsidRPr="00254E6E" w:rsidRDefault="003D1995" w:rsidP="003D1995">
      <w:pPr>
        <w:jc w:val="both"/>
        <w:rPr>
          <w:rFonts w:ascii="Arial" w:hAnsi="Arial" w:cs="Arial"/>
          <w:b/>
          <w:bCs/>
          <w:color w:val="000000" w:themeColor="text1"/>
          <w:sz w:val="22"/>
          <w:lang w:val="es-ES"/>
        </w:rPr>
      </w:pPr>
      <w:r w:rsidRPr="00254E6E">
        <w:rPr>
          <w:rFonts w:ascii="Arial" w:hAnsi="Arial" w:cs="Arial"/>
          <w:b/>
          <w:bCs/>
          <w:color w:val="000000" w:themeColor="text1"/>
          <w:sz w:val="22"/>
          <w:lang w:val="es-ES"/>
        </w:rPr>
        <w:t>EXPERIENCIA ‒ Conservación ‒ Renovación RUP ‒ Cesación efectos RUP</w:t>
      </w:r>
    </w:p>
    <w:p w14:paraId="73E60F60" w14:textId="77777777" w:rsidR="003D1995" w:rsidRPr="00254E6E" w:rsidRDefault="003D1995" w:rsidP="003D1995">
      <w:pPr>
        <w:jc w:val="both"/>
        <w:rPr>
          <w:rFonts w:ascii="Arial" w:hAnsi="Arial" w:cs="Arial"/>
          <w:color w:val="000000" w:themeColor="text1"/>
          <w:sz w:val="20"/>
          <w:szCs w:val="20"/>
          <w:lang w:val="es-ES"/>
        </w:rPr>
      </w:pPr>
    </w:p>
    <w:p w14:paraId="0CE2A09B" w14:textId="3C6FEEBB" w:rsidR="003D1995" w:rsidRDefault="003D1995" w:rsidP="003D1995">
      <w:pPr>
        <w:jc w:val="both"/>
        <w:rPr>
          <w:rFonts w:ascii="Arial" w:hAnsi="Arial" w:cs="Arial"/>
          <w:color w:val="000000" w:themeColor="text1"/>
          <w:sz w:val="20"/>
          <w:szCs w:val="20"/>
          <w:lang w:val="es-ES"/>
        </w:rPr>
      </w:pPr>
      <w:r w:rsidRPr="00254E6E">
        <w:rPr>
          <w:rFonts w:ascii="Arial" w:hAnsi="Arial" w:cs="Arial"/>
          <w:color w:val="000000" w:themeColor="text1"/>
          <w:sz w:val="20"/>
          <w:szCs w:val="20"/>
          <w:lang w:val="es-ES"/>
        </w:rPr>
        <w:t xml:space="preserve">[…] </w:t>
      </w:r>
      <w:r w:rsidR="003C5C49" w:rsidRPr="003C5C49">
        <w:rPr>
          <w:rFonts w:ascii="Arial" w:hAnsi="Arial" w:cs="Arial"/>
          <w:color w:val="000000" w:themeColor="text1"/>
          <w:sz w:val="20"/>
          <w:szCs w:val="20"/>
          <w:lang w:val="es-ES"/>
        </w:rPr>
        <w:t>si la persona jurídica con menos de tres años de constituida registra la experiencia de sus socios en el RUP, y éste es renovado, puede continuar utilizando la experiencia inscrita mientras no cesen los efectos del RUP. Por el contrario, si no se renueva y la persona jurídica supera los tres años de constituida, la experiencia que registró de sus socios no puede ser inscrita nuevamente, puesto que el RUP ha cesado sus efectos y la cámara de comercio tiene que hacer nuevamente la verificación documental de la información presentada al momento de inscribirse en el registro.</w:t>
      </w:r>
    </w:p>
    <w:p w14:paraId="2D265C85" w14:textId="77777777" w:rsidR="003C5C49" w:rsidRPr="00254E6E" w:rsidRDefault="003C5C49" w:rsidP="003D1995">
      <w:pPr>
        <w:jc w:val="both"/>
        <w:rPr>
          <w:rFonts w:ascii="Arial" w:hAnsi="Arial" w:cs="Arial"/>
          <w:b/>
          <w:sz w:val="22"/>
          <w:lang w:val="es-ES"/>
        </w:rPr>
      </w:pPr>
    </w:p>
    <w:p w14:paraId="6D380551" w14:textId="77777777" w:rsidR="003D1995" w:rsidRPr="00254E6E" w:rsidRDefault="003D1995" w:rsidP="003D1995">
      <w:pPr>
        <w:jc w:val="both"/>
        <w:rPr>
          <w:rFonts w:ascii="Arial" w:hAnsi="Arial" w:cs="Arial"/>
          <w:sz w:val="22"/>
          <w:lang w:val="es-ES"/>
        </w:rPr>
      </w:pPr>
      <w:r w:rsidRPr="00254E6E">
        <w:rPr>
          <w:rFonts w:ascii="Arial" w:hAnsi="Arial" w:cs="Arial"/>
          <w:b/>
          <w:sz w:val="22"/>
          <w:lang w:val="es-ES"/>
        </w:rPr>
        <w:t xml:space="preserve">EXPERIENCIA </w:t>
      </w:r>
      <w:r w:rsidRPr="00254E6E">
        <w:rPr>
          <w:rFonts w:ascii="Arial" w:eastAsia="Calibri" w:hAnsi="Arial" w:cs="Arial"/>
          <w:b/>
          <w:sz w:val="22"/>
          <w:lang w:val="es-ES"/>
        </w:rPr>
        <w:t>–</w:t>
      </w:r>
      <w:r w:rsidRPr="00254E6E">
        <w:rPr>
          <w:rFonts w:ascii="Arial" w:hAnsi="Arial" w:cs="Arial"/>
          <w:b/>
          <w:sz w:val="22"/>
          <w:lang w:val="es-ES"/>
        </w:rPr>
        <w:t xml:space="preserve"> Conservación </w:t>
      </w:r>
      <w:r w:rsidRPr="00254E6E">
        <w:rPr>
          <w:rFonts w:ascii="Arial" w:eastAsia="Calibri" w:hAnsi="Arial" w:cs="Arial"/>
          <w:b/>
          <w:sz w:val="22"/>
          <w:lang w:val="es-ES"/>
        </w:rPr>
        <w:t xml:space="preserve">– </w:t>
      </w:r>
      <w:r w:rsidRPr="00254E6E">
        <w:rPr>
          <w:rFonts w:ascii="Arial" w:hAnsi="Arial" w:cs="Arial"/>
          <w:b/>
          <w:sz w:val="22"/>
          <w:lang w:val="es-ES"/>
        </w:rPr>
        <w:t xml:space="preserve">Sociedades </w:t>
      </w:r>
      <w:r w:rsidRPr="00254E6E">
        <w:rPr>
          <w:rFonts w:ascii="Arial" w:eastAsia="Calibri" w:hAnsi="Arial" w:cs="Arial"/>
          <w:b/>
          <w:sz w:val="22"/>
          <w:lang w:val="es-ES"/>
        </w:rPr>
        <w:t>– M</w:t>
      </w:r>
      <w:r w:rsidRPr="00254E6E">
        <w:rPr>
          <w:rFonts w:ascii="Arial" w:hAnsi="Arial" w:cs="Arial"/>
          <w:b/>
          <w:sz w:val="22"/>
          <w:lang w:val="es-ES"/>
        </w:rPr>
        <w:t>enor a 3 años de constitución</w:t>
      </w:r>
      <w:r w:rsidRPr="00254E6E">
        <w:rPr>
          <w:rFonts w:ascii="Arial" w:hAnsi="Arial" w:cs="Arial"/>
          <w:sz w:val="21"/>
          <w:szCs w:val="21"/>
          <w:lang w:val="es-ES"/>
        </w:rPr>
        <w:t xml:space="preserve"> </w:t>
      </w:r>
    </w:p>
    <w:p w14:paraId="1930D84F" w14:textId="77777777" w:rsidR="003D1995" w:rsidRPr="00254E6E" w:rsidRDefault="003D1995" w:rsidP="003D1995">
      <w:pPr>
        <w:jc w:val="both"/>
        <w:rPr>
          <w:rFonts w:ascii="Arial" w:hAnsi="Arial" w:cs="Arial"/>
          <w:sz w:val="20"/>
          <w:szCs w:val="20"/>
          <w:lang w:val="es-ES"/>
        </w:rPr>
      </w:pPr>
    </w:p>
    <w:p w14:paraId="2C4C5263" w14:textId="77777777" w:rsidR="00E344FB" w:rsidRPr="00254E6E" w:rsidRDefault="003D1995" w:rsidP="00E344FB">
      <w:pPr>
        <w:jc w:val="both"/>
        <w:rPr>
          <w:rFonts w:ascii="Arial" w:hAnsi="Arial" w:cs="Arial"/>
          <w:sz w:val="20"/>
          <w:szCs w:val="20"/>
          <w:lang w:val="es-ES"/>
        </w:rPr>
      </w:pPr>
      <w:r w:rsidRPr="00254E6E">
        <w:rPr>
          <w:rFonts w:ascii="Arial" w:hAnsi="Arial" w:cs="Arial"/>
          <w:sz w:val="20"/>
          <w:szCs w:val="20"/>
          <w:lang w:val="es-ES"/>
        </w:rPr>
        <w:t>[…] en atención al principio general de interpretación según el cual donde el legislador no distingue no le es dado hacerlo al intérprete, el hecho de que una sociedad con menos de 3 años de constitución haya hecho uso de la referida prerrogativa en determinado proceso de contratación o entidad, no excluye la posibilidad de que dicha sociedad siga haciendo uso del beneficio en otros procesos de contratación adelantados por otras entidades, incluso una vez vencidos los 3 años de constitución, siempre que no hayan cesado los efectos del RUP por el incumplimiento del deber de renovación.</w:t>
      </w:r>
      <w:r w:rsidR="00E344FB" w:rsidRPr="00254E6E">
        <w:rPr>
          <w:rFonts w:ascii="Arial" w:hAnsi="Arial" w:cs="Arial"/>
          <w:sz w:val="20"/>
          <w:szCs w:val="20"/>
          <w:lang w:val="es-ES"/>
        </w:rPr>
        <w:t xml:space="preserve"> </w:t>
      </w:r>
    </w:p>
    <w:p w14:paraId="5F291FD1" w14:textId="77777777" w:rsidR="00E344FB" w:rsidRPr="00254E6E" w:rsidRDefault="00E344FB" w:rsidP="00E344FB">
      <w:pPr>
        <w:jc w:val="both"/>
        <w:rPr>
          <w:rFonts w:ascii="Arial" w:hAnsi="Arial" w:cs="Arial"/>
          <w:sz w:val="20"/>
          <w:szCs w:val="20"/>
          <w:lang w:val="es-ES"/>
        </w:rPr>
      </w:pPr>
    </w:p>
    <w:p w14:paraId="3E45558C" w14:textId="41EEEA5F" w:rsidR="00E344FB" w:rsidRPr="00254E6E" w:rsidRDefault="00E344FB" w:rsidP="00E344FB">
      <w:pPr>
        <w:jc w:val="both"/>
        <w:rPr>
          <w:rFonts w:ascii="Arial" w:hAnsi="Arial" w:cs="Arial"/>
          <w:sz w:val="20"/>
          <w:szCs w:val="20"/>
          <w:lang w:val="es-ES"/>
        </w:rPr>
      </w:pPr>
    </w:p>
    <w:p w14:paraId="05A205FF" w14:textId="33CCC60E" w:rsidR="00254E6E" w:rsidRPr="00254E6E" w:rsidRDefault="00254E6E" w:rsidP="00E344FB">
      <w:pPr>
        <w:jc w:val="both"/>
        <w:rPr>
          <w:rFonts w:ascii="Arial" w:hAnsi="Arial" w:cs="Arial"/>
          <w:sz w:val="20"/>
          <w:szCs w:val="20"/>
          <w:lang w:val="es-ES"/>
        </w:rPr>
      </w:pPr>
    </w:p>
    <w:p w14:paraId="51D6C653" w14:textId="378343AE" w:rsidR="00254E6E" w:rsidRPr="00254E6E" w:rsidRDefault="00254E6E" w:rsidP="00E344FB">
      <w:pPr>
        <w:jc w:val="both"/>
        <w:rPr>
          <w:rFonts w:ascii="Arial" w:hAnsi="Arial" w:cs="Arial"/>
          <w:sz w:val="20"/>
          <w:szCs w:val="20"/>
          <w:lang w:val="es-ES"/>
        </w:rPr>
      </w:pPr>
    </w:p>
    <w:p w14:paraId="41C848C5" w14:textId="3B9C903F" w:rsidR="00254E6E" w:rsidRPr="00254E6E" w:rsidRDefault="00254E6E" w:rsidP="00E344FB">
      <w:pPr>
        <w:jc w:val="both"/>
        <w:rPr>
          <w:rFonts w:ascii="Arial" w:hAnsi="Arial" w:cs="Arial"/>
          <w:sz w:val="20"/>
          <w:szCs w:val="20"/>
          <w:lang w:val="es-ES"/>
        </w:rPr>
      </w:pPr>
    </w:p>
    <w:p w14:paraId="0056A332" w14:textId="16BF74A2" w:rsidR="00254E6E" w:rsidRPr="00254E6E" w:rsidRDefault="00254E6E" w:rsidP="00E344FB">
      <w:pPr>
        <w:jc w:val="both"/>
        <w:rPr>
          <w:rFonts w:ascii="Arial" w:hAnsi="Arial" w:cs="Arial"/>
          <w:sz w:val="20"/>
          <w:szCs w:val="20"/>
          <w:lang w:val="es-ES"/>
        </w:rPr>
      </w:pPr>
    </w:p>
    <w:p w14:paraId="49EA188F" w14:textId="34BD0684" w:rsidR="00254E6E" w:rsidRPr="00254E6E" w:rsidRDefault="00254E6E" w:rsidP="00E344FB">
      <w:pPr>
        <w:jc w:val="both"/>
        <w:rPr>
          <w:rFonts w:ascii="Arial" w:hAnsi="Arial" w:cs="Arial"/>
          <w:sz w:val="20"/>
          <w:szCs w:val="20"/>
          <w:lang w:val="es-ES"/>
        </w:rPr>
      </w:pPr>
    </w:p>
    <w:p w14:paraId="52AFB677" w14:textId="39F7DC21" w:rsidR="00254E6E" w:rsidRPr="00254E6E" w:rsidRDefault="00254E6E" w:rsidP="00E344FB">
      <w:pPr>
        <w:jc w:val="both"/>
        <w:rPr>
          <w:rFonts w:ascii="Arial" w:hAnsi="Arial" w:cs="Arial"/>
          <w:sz w:val="20"/>
          <w:szCs w:val="20"/>
          <w:lang w:val="es-ES"/>
        </w:rPr>
      </w:pPr>
    </w:p>
    <w:p w14:paraId="74C4C337" w14:textId="3B81FE08" w:rsidR="00254E6E" w:rsidRPr="00254E6E" w:rsidRDefault="00254E6E" w:rsidP="00E344FB">
      <w:pPr>
        <w:jc w:val="both"/>
        <w:rPr>
          <w:rFonts w:ascii="Arial" w:hAnsi="Arial" w:cs="Arial"/>
          <w:sz w:val="20"/>
          <w:szCs w:val="20"/>
          <w:lang w:val="es-ES"/>
        </w:rPr>
      </w:pPr>
    </w:p>
    <w:p w14:paraId="04FB45DD" w14:textId="36B3D14E" w:rsidR="00254E6E" w:rsidRPr="00254E6E" w:rsidRDefault="00254E6E" w:rsidP="00E344FB">
      <w:pPr>
        <w:jc w:val="both"/>
        <w:rPr>
          <w:rFonts w:ascii="Arial" w:hAnsi="Arial" w:cs="Arial"/>
          <w:sz w:val="20"/>
          <w:szCs w:val="20"/>
          <w:lang w:val="es-ES"/>
        </w:rPr>
      </w:pPr>
    </w:p>
    <w:p w14:paraId="2B7162A5" w14:textId="37E22E75" w:rsidR="00254E6E" w:rsidRPr="00254E6E" w:rsidRDefault="00254E6E" w:rsidP="00E344FB">
      <w:pPr>
        <w:jc w:val="both"/>
        <w:rPr>
          <w:rFonts w:ascii="Arial" w:hAnsi="Arial" w:cs="Arial"/>
          <w:sz w:val="20"/>
          <w:szCs w:val="20"/>
          <w:lang w:val="es-ES"/>
        </w:rPr>
      </w:pPr>
    </w:p>
    <w:p w14:paraId="7B1D0229" w14:textId="22E8DFEC" w:rsidR="00254E6E" w:rsidRPr="00254E6E" w:rsidRDefault="00254E6E" w:rsidP="00E344FB">
      <w:pPr>
        <w:jc w:val="both"/>
        <w:rPr>
          <w:rFonts w:ascii="Arial" w:hAnsi="Arial" w:cs="Arial"/>
          <w:sz w:val="20"/>
          <w:szCs w:val="20"/>
          <w:lang w:val="es-ES"/>
        </w:rPr>
      </w:pPr>
    </w:p>
    <w:p w14:paraId="5AE3327B" w14:textId="5914790A" w:rsidR="00254E6E" w:rsidRPr="00254E6E" w:rsidRDefault="00254E6E" w:rsidP="00E344FB">
      <w:pPr>
        <w:jc w:val="both"/>
        <w:rPr>
          <w:rFonts w:ascii="Arial" w:hAnsi="Arial" w:cs="Arial"/>
          <w:sz w:val="20"/>
          <w:szCs w:val="20"/>
          <w:lang w:val="es-ES"/>
        </w:rPr>
      </w:pPr>
    </w:p>
    <w:p w14:paraId="55D96E5B" w14:textId="198BF8B9" w:rsidR="00254E6E" w:rsidRDefault="00254E6E" w:rsidP="00254E6E">
      <w:pPr>
        <w:rPr>
          <w:rFonts w:ascii="Arial" w:eastAsia="Calibri" w:hAnsi="Arial" w:cs="Arial"/>
          <w:sz w:val="22"/>
          <w:szCs w:val="20"/>
          <w:lang w:val="es-ES"/>
        </w:rPr>
      </w:pPr>
    </w:p>
    <w:p w14:paraId="29D19E9C" w14:textId="77777777" w:rsidR="007079F7" w:rsidRDefault="007079F7" w:rsidP="00254E6E">
      <w:pPr>
        <w:rPr>
          <w:rFonts w:ascii="Arial" w:eastAsia="Calibri" w:hAnsi="Arial" w:cs="Arial"/>
          <w:sz w:val="22"/>
          <w:szCs w:val="20"/>
          <w:lang w:val="es-ES"/>
        </w:rPr>
      </w:pPr>
    </w:p>
    <w:p w14:paraId="47363ACF" w14:textId="1AD690A7" w:rsidR="007079F7" w:rsidRDefault="007079F7" w:rsidP="00254E6E">
      <w:pPr>
        <w:rPr>
          <w:rFonts w:ascii="Arial" w:eastAsia="Calibri" w:hAnsi="Arial" w:cs="Arial"/>
          <w:sz w:val="22"/>
          <w:szCs w:val="20"/>
          <w:lang w:val="es-ES"/>
        </w:rPr>
      </w:pPr>
    </w:p>
    <w:p w14:paraId="34781B14" w14:textId="3AA40001" w:rsidR="007079F7" w:rsidRDefault="007079F7" w:rsidP="00254E6E">
      <w:pPr>
        <w:rPr>
          <w:rFonts w:ascii="Arial" w:eastAsia="Calibri" w:hAnsi="Arial" w:cs="Arial"/>
          <w:sz w:val="22"/>
          <w:szCs w:val="20"/>
          <w:lang w:val="es-ES"/>
        </w:rPr>
      </w:pPr>
    </w:p>
    <w:p w14:paraId="40A1090B" w14:textId="135375DF" w:rsidR="007079F7" w:rsidRDefault="007079F7" w:rsidP="00254E6E">
      <w:pPr>
        <w:rPr>
          <w:rFonts w:ascii="Arial" w:eastAsia="Calibri" w:hAnsi="Arial" w:cs="Arial"/>
          <w:sz w:val="22"/>
          <w:szCs w:val="20"/>
          <w:lang w:val="es-ES"/>
        </w:rPr>
      </w:pPr>
    </w:p>
    <w:p w14:paraId="03DDA51C" w14:textId="77777777" w:rsidR="007079F7" w:rsidRPr="00254E6E" w:rsidRDefault="007079F7" w:rsidP="00254E6E">
      <w:pPr>
        <w:rPr>
          <w:rFonts w:ascii="Arial" w:eastAsia="Calibri" w:hAnsi="Arial" w:cs="Arial"/>
          <w:sz w:val="22"/>
          <w:szCs w:val="20"/>
          <w:lang w:val="es-ES"/>
        </w:rPr>
      </w:pPr>
    </w:p>
    <w:p w14:paraId="116B7706" w14:textId="1D793BAE" w:rsidR="00254E6E" w:rsidRPr="00254E6E" w:rsidRDefault="00254E6E" w:rsidP="00254E6E">
      <w:pPr>
        <w:rPr>
          <w:rFonts w:ascii="Arial" w:eastAsia="Arial" w:hAnsi="Arial" w:cs="Arial"/>
          <w:b/>
          <w:bCs/>
          <w:sz w:val="22"/>
          <w:lang w:val="es-ES"/>
        </w:rPr>
      </w:pPr>
      <w:bookmarkStart w:id="0" w:name="_Hlk64030265"/>
      <w:r w:rsidRPr="00254E6E">
        <w:rPr>
          <w:rFonts w:ascii="Arial" w:eastAsia="Calibri" w:hAnsi="Arial" w:cs="Arial"/>
          <w:sz w:val="22"/>
          <w:szCs w:val="20"/>
          <w:lang w:val="es-ES"/>
        </w:rPr>
        <w:t>Bogotá D.C.</w:t>
      </w:r>
      <w:bookmarkEnd w:id="0"/>
      <w:r w:rsidRPr="00254E6E">
        <w:rPr>
          <w:rFonts w:ascii="Arial" w:eastAsia="Calibri" w:hAnsi="Arial" w:cs="Arial"/>
          <w:sz w:val="22"/>
          <w:szCs w:val="20"/>
          <w:lang w:val="es-ES"/>
        </w:rPr>
        <w:t xml:space="preserve">, </w:t>
      </w:r>
      <w:r w:rsidR="007079F7" w:rsidRPr="007079F7">
        <w:rPr>
          <w:rFonts w:ascii="Arial" w:eastAsia="Calibri" w:hAnsi="Arial" w:cs="Arial"/>
          <w:b/>
          <w:bCs/>
          <w:sz w:val="22"/>
          <w:szCs w:val="20"/>
          <w:lang w:val="es-ES"/>
        </w:rPr>
        <w:t>1</w:t>
      </w:r>
      <w:r w:rsidR="007079F7">
        <w:rPr>
          <w:rFonts w:ascii="Arial" w:eastAsia="Calibri" w:hAnsi="Arial" w:cs="Arial"/>
          <w:b/>
          <w:bCs/>
          <w:sz w:val="22"/>
          <w:szCs w:val="20"/>
          <w:lang w:val="es-ES"/>
        </w:rPr>
        <w:t>0</w:t>
      </w:r>
      <w:r w:rsidR="007079F7" w:rsidRPr="007079F7">
        <w:rPr>
          <w:rFonts w:ascii="Arial" w:eastAsia="Calibri" w:hAnsi="Arial" w:cs="Arial"/>
          <w:b/>
          <w:bCs/>
          <w:sz w:val="22"/>
          <w:szCs w:val="20"/>
          <w:lang w:val="es-ES"/>
        </w:rPr>
        <w:t>/06/2021</w:t>
      </w:r>
    </w:p>
    <w:p w14:paraId="62C1CC1D" w14:textId="77777777" w:rsidR="00254E6E" w:rsidRPr="00254E6E" w:rsidRDefault="00254E6E" w:rsidP="00254E6E">
      <w:pPr>
        <w:spacing w:line="276" w:lineRule="auto"/>
        <w:rPr>
          <w:rFonts w:ascii="Arial" w:eastAsia="Arial" w:hAnsi="Arial" w:cs="Arial"/>
          <w:b/>
          <w:sz w:val="22"/>
          <w:lang w:val="es-ES"/>
        </w:rPr>
      </w:pPr>
    </w:p>
    <w:p w14:paraId="25522862" w14:textId="3297C2C8" w:rsidR="007079F7" w:rsidRDefault="007079F7" w:rsidP="007079F7">
      <w:pPr>
        <w:jc w:val="right"/>
        <w:rPr>
          <w:rFonts w:ascii="Arial" w:eastAsia="Arial" w:hAnsi="Arial" w:cs="Arial"/>
          <w:b/>
          <w:bCs/>
          <w:sz w:val="22"/>
          <w:lang w:val="es-ES"/>
        </w:rPr>
      </w:pPr>
      <w:r>
        <w:rPr>
          <w:rFonts w:ascii="Times New Roman"/>
          <w:noProof/>
          <w:sz w:val="20"/>
        </w:rPr>
        <w:drawing>
          <wp:inline distT="0" distB="0" distL="0" distR="0" wp14:anchorId="031851BF" wp14:editId="5704ACC1">
            <wp:extent cx="2372585" cy="608838"/>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1" cstate="print"/>
                    <a:stretch>
                      <a:fillRect/>
                    </a:stretch>
                  </pic:blipFill>
                  <pic:spPr>
                    <a:xfrm>
                      <a:off x="0" y="0"/>
                      <a:ext cx="2372585" cy="608838"/>
                    </a:xfrm>
                    <a:prstGeom prst="rect">
                      <a:avLst/>
                    </a:prstGeom>
                  </pic:spPr>
                </pic:pic>
              </a:graphicData>
            </a:graphic>
          </wp:inline>
        </w:drawing>
      </w:r>
    </w:p>
    <w:p w14:paraId="55789C01" w14:textId="77777777" w:rsidR="007079F7" w:rsidRDefault="007079F7" w:rsidP="003D1995">
      <w:pPr>
        <w:rPr>
          <w:rFonts w:ascii="Arial" w:eastAsia="Arial" w:hAnsi="Arial" w:cs="Arial"/>
          <w:b/>
          <w:bCs/>
          <w:sz w:val="22"/>
          <w:lang w:val="es-ES"/>
        </w:rPr>
      </w:pPr>
    </w:p>
    <w:p w14:paraId="682D72BE" w14:textId="77777777" w:rsidR="007079F7" w:rsidRDefault="007079F7" w:rsidP="003D1995">
      <w:pPr>
        <w:rPr>
          <w:rFonts w:ascii="Arial" w:eastAsia="Arial" w:hAnsi="Arial" w:cs="Arial"/>
          <w:b/>
          <w:bCs/>
          <w:sz w:val="22"/>
          <w:lang w:val="es-ES"/>
        </w:rPr>
      </w:pPr>
    </w:p>
    <w:p w14:paraId="1125B69C" w14:textId="0F05AF94" w:rsidR="003D1995" w:rsidRPr="00254E6E" w:rsidRDefault="003D1995" w:rsidP="003D1995">
      <w:pPr>
        <w:rPr>
          <w:rFonts w:ascii="Arial" w:hAnsi="Arial" w:cs="Arial"/>
          <w:sz w:val="22"/>
          <w:lang w:val="es-ES"/>
        </w:rPr>
      </w:pPr>
      <w:r w:rsidRPr="00254E6E">
        <w:rPr>
          <w:rFonts w:ascii="Arial" w:hAnsi="Arial" w:cs="Arial"/>
          <w:sz w:val="22"/>
          <w:lang w:val="es-ES"/>
        </w:rPr>
        <w:t>Señor</w:t>
      </w:r>
    </w:p>
    <w:p w14:paraId="2BEA5F79" w14:textId="39C8BFA2" w:rsidR="00254E6E" w:rsidRPr="00254E6E" w:rsidRDefault="00654828" w:rsidP="003D1995">
      <w:pPr>
        <w:rPr>
          <w:rFonts w:ascii="Arial" w:hAnsi="Arial" w:cs="Arial"/>
          <w:b/>
          <w:bCs/>
          <w:sz w:val="22"/>
          <w:lang w:val="es-ES"/>
        </w:rPr>
      </w:pPr>
      <w:r>
        <w:rPr>
          <w:rFonts w:ascii="Arial" w:hAnsi="Arial" w:cs="Arial"/>
          <w:b/>
          <w:bCs/>
          <w:sz w:val="22"/>
          <w:lang w:val="es-ES"/>
        </w:rPr>
        <w:t>XXXXX</w:t>
      </w:r>
    </w:p>
    <w:p w14:paraId="014CB527" w14:textId="7E9C4234" w:rsidR="003D1995" w:rsidRPr="00254E6E" w:rsidRDefault="00254E6E" w:rsidP="003D1995">
      <w:pPr>
        <w:rPr>
          <w:rFonts w:ascii="Arial" w:eastAsia="Calibri" w:hAnsi="Arial" w:cs="Arial"/>
          <w:sz w:val="22"/>
          <w:lang w:val="es-ES"/>
        </w:rPr>
      </w:pPr>
      <w:r>
        <w:rPr>
          <w:rFonts w:ascii="Arial" w:hAnsi="Arial" w:cs="Arial"/>
          <w:sz w:val="22"/>
          <w:lang w:val="es-ES"/>
        </w:rPr>
        <w:t>Zipaquirá, Cundinamarca</w:t>
      </w:r>
    </w:p>
    <w:p w14:paraId="0EC2308F" w14:textId="77777777" w:rsidR="003D1995" w:rsidRPr="00254E6E" w:rsidRDefault="003D1995" w:rsidP="003D1995">
      <w:pPr>
        <w:rPr>
          <w:rFonts w:ascii="Arial" w:eastAsia="Calibri" w:hAnsi="Arial" w:cs="Arial"/>
          <w:sz w:val="22"/>
          <w:lang w:val="es-ES"/>
        </w:rPr>
      </w:pPr>
    </w:p>
    <w:p w14:paraId="4ACDA654" w14:textId="060464D2" w:rsidR="003D1995" w:rsidRPr="00254E6E" w:rsidRDefault="003D1995" w:rsidP="003D1995">
      <w:pPr>
        <w:rPr>
          <w:rFonts w:ascii="Arial" w:eastAsia="Calibri" w:hAnsi="Arial" w:cs="Arial"/>
          <w:b/>
          <w:sz w:val="22"/>
          <w:lang w:val="es-ES"/>
        </w:rPr>
      </w:pPr>
      <w:r w:rsidRPr="00254E6E">
        <w:rPr>
          <w:rFonts w:ascii="Arial" w:eastAsia="Calibri" w:hAnsi="Arial" w:cs="Arial"/>
          <w:b/>
          <w:sz w:val="22"/>
          <w:lang w:val="es-ES"/>
        </w:rPr>
        <w:t xml:space="preserve">                                            </w:t>
      </w:r>
      <w:r w:rsidR="00997DF3" w:rsidRPr="00254E6E">
        <w:rPr>
          <w:rFonts w:ascii="Arial" w:eastAsia="Calibri" w:hAnsi="Arial" w:cs="Arial"/>
          <w:b/>
          <w:sz w:val="22"/>
          <w:lang w:val="es-ES"/>
        </w:rPr>
        <w:t xml:space="preserve"> </w:t>
      </w:r>
      <w:r w:rsidRPr="00254E6E">
        <w:rPr>
          <w:rFonts w:ascii="Arial" w:eastAsia="Calibri" w:hAnsi="Arial" w:cs="Arial"/>
          <w:b/>
          <w:sz w:val="22"/>
          <w:lang w:val="es-ES"/>
        </w:rPr>
        <w:t>Concepto C</w:t>
      </w:r>
      <w:r w:rsidR="00C035E8" w:rsidRPr="00254E6E">
        <w:rPr>
          <w:rFonts w:ascii="Arial" w:eastAsia="Calibri" w:hAnsi="Arial" w:cs="Arial"/>
          <w:b/>
          <w:sz w:val="22"/>
          <w:lang w:val="es-ES"/>
        </w:rPr>
        <w:t xml:space="preserve"> </w:t>
      </w:r>
      <w:r w:rsidRPr="00254E6E">
        <w:rPr>
          <w:rFonts w:ascii="Arial" w:eastAsia="Calibri" w:hAnsi="Arial" w:cs="Arial"/>
          <w:b/>
          <w:sz w:val="22"/>
          <w:lang w:val="es-ES"/>
        </w:rPr>
        <w:t xml:space="preserve">– </w:t>
      </w:r>
      <w:r w:rsidR="00E63802">
        <w:rPr>
          <w:rFonts w:ascii="Arial" w:eastAsia="Calibri" w:hAnsi="Arial" w:cs="Arial"/>
          <w:b/>
          <w:sz w:val="22"/>
          <w:lang w:val="es-ES"/>
        </w:rPr>
        <w:t xml:space="preserve">278 </w:t>
      </w:r>
      <w:r w:rsidRPr="00254E6E">
        <w:rPr>
          <w:rFonts w:ascii="Arial" w:eastAsia="Calibri" w:hAnsi="Arial" w:cs="Arial"/>
          <w:b/>
          <w:sz w:val="22"/>
          <w:lang w:val="es-ES"/>
        </w:rPr>
        <w:t>de 202</w:t>
      </w:r>
      <w:r w:rsidR="00F614F9">
        <w:rPr>
          <w:rFonts w:ascii="Arial" w:eastAsia="Calibri" w:hAnsi="Arial" w:cs="Arial"/>
          <w:b/>
          <w:sz w:val="22"/>
          <w:lang w:val="es-ES"/>
        </w:rPr>
        <w:t>1</w:t>
      </w:r>
    </w:p>
    <w:p w14:paraId="56835CEB" w14:textId="77777777" w:rsidR="00E63802" w:rsidRPr="00254E6E" w:rsidRDefault="00E63802" w:rsidP="003D1995">
      <w:pPr>
        <w:rPr>
          <w:rFonts w:ascii="Arial" w:eastAsia="Calibri" w:hAnsi="Arial" w:cs="Arial"/>
          <w:b/>
          <w:sz w:val="22"/>
          <w:lang w:val="es-ES"/>
        </w:rPr>
      </w:pPr>
    </w:p>
    <w:tbl>
      <w:tblPr>
        <w:tblStyle w:val="Tablaconcuadrcula"/>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774"/>
        <w:gridCol w:w="6435"/>
      </w:tblGrid>
      <w:tr w:rsidR="003D1995" w:rsidRPr="00254E6E" w14:paraId="0D52F6BA" w14:textId="77777777" w:rsidTr="00E139BC">
        <w:trPr>
          <w:trHeight w:val="1252"/>
        </w:trPr>
        <w:tc>
          <w:tcPr>
            <w:tcW w:w="2774" w:type="dxa"/>
          </w:tcPr>
          <w:p w14:paraId="25A99BF4" w14:textId="77777777" w:rsidR="003D1995" w:rsidRPr="00254E6E" w:rsidRDefault="003D1995" w:rsidP="007D69B0">
            <w:pPr>
              <w:rPr>
                <w:rFonts w:ascii="Arial" w:eastAsia="Calibri" w:hAnsi="Arial" w:cs="Arial"/>
                <w:sz w:val="22"/>
                <w:lang w:val="es-ES"/>
              </w:rPr>
            </w:pPr>
            <w:r w:rsidRPr="00254E6E">
              <w:rPr>
                <w:rFonts w:ascii="Arial" w:eastAsia="Calibri" w:hAnsi="Arial" w:cs="Arial"/>
                <w:b/>
                <w:sz w:val="22"/>
                <w:lang w:val="es-ES"/>
              </w:rPr>
              <w:t>Temas:</w:t>
            </w:r>
            <w:r w:rsidRPr="00254E6E">
              <w:rPr>
                <w:rFonts w:ascii="Arial" w:eastAsia="Calibri" w:hAnsi="Arial" w:cs="Arial"/>
                <w:sz w:val="22"/>
                <w:lang w:val="es-ES"/>
              </w:rPr>
              <w:t xml:space="preserve">           </w:t>
            </w:r>
          </w:p>
          <w:p w14:paraId="76D0A34C" w14:textId="77777777" w:rsidR="003D1995" w:rsidRPr="00254E6E" w:rsidRDefault="003D1995" w:rsidP="007D69B0">
            <w:pPr>
              <w:rPr>
                <w:rFonts w:ascii="Arial" w:eastAsia="Calibri" w:hAnsi="Arial" w:cs="Arial"/>
                <w:sz w:val="22"/>
                <w:lang w:val="es-ES"/>
              </w:rPr>
            </w:pPr>
            <w:r w:rsidRPr="00254E6E">
              <w:rPr>
                <w:rFonts w:ascii="Arial" w:eastAsia="Calibri" w:hAnsi="Arial" w:cs="Arial"/>
                <w:sz w:val="22"/>
                <w:lang w:val="es-ES"/>
              </w:rPr>
              <w:t xml:space="preserve">                           </w:t>
            </w:r>
          </w:p>
        </w:tc>
        <w:tc>
          <w:tcPr>
            <w:tcW w:w="6435" w:type="dxa"/>
          </w:tcPr>
          <w:p w14:paraId="01008DF7" w14:textId="4A1AF78C" w:rsidR="003D1995" w:rsidRPr="00254E6E" w:rsidRDefault="003D1995" w:rsidP="00E34A1C">
            <w:pPr>
              <w:spacing w:after="120"/>
              <w:jc w:val="both"/>
              <w:rPr>
                <w:rFonts w:ascii="Arial" w:eastAsia="Calibri" w:hAnsi="Arial" w:cs="Arial"/>
                <w:bCs/>
                <w:sz w:val="22"/>
                <w:lang w:val="es-ES"/>
              </w:rPr>
            </w:pPr>
            <w:r w:rsidRPr="00254E6E">
              <w:rPr>
                <w:rFonts w:ascii="Arial" w:hAnsi="Arial" w:cs="Arial"/>
                <w:bCs/>
                <w:color w:val="000000" w:themeColor="text1"/>
                <w:sz w:val="22"/>
                <w:lang w:val="es-ES"/>
              </w:rPr>
              <w:t xml:space="preserve">EXPERIENCIA − Noción − </w:t>
            </w:r>
            <w:r w:rsidRPr="00254E6E">
              <w:rPr>
                <w:rFonts w:ascii="Arial" w:hAnsi="Arial" w:cs="Arial"/>
                <w:bCs/>
                <w:sz w:val="22"/>
                <w:lang w:val="es-ES"/>
              </w:rPr>
              <w:t xml:space="preserve">Colombia Compra Eficiente/ </w:t>
            </w:r>
            <w:r w:rsidRPr="00254E6E">
              <w:rPr>
                <w:rFonts w:ascii="Arial" w:eastAsia="Calibri" w:hAnsi="Arial" w:cs="Arial"/>
                <w:bCs/>
                <w:color w:val="000000" w:themeColor="text1"/>
                <w:sz w:val="22"/>
                <w:lang w:val="es-ES"/>
              </w:rPr>
              <w:t xml:space="preserve">SOCIEDADES NUEVAS ‒ Experiencia ‒ Inferior a tres años ‒ Requisitos habilitantes ‒ Desarrollo de la empresa/ </w:t>
            </w:r>
            <w:r w:rsidRPr="00254E6E">
              <w:rPr>
                <w:rFonts w:ascii="Arial" w:hAnsi="Arial" w:cs="Arial"/>
                <w:bCs/>
                <w:color w:val="000000" w:themeColor="text1"/>
                <w:sz w:val="22"/>
                <w:lang w:val="es-ES"/>
              </w:rPr>
              <w:t xml:space="preserve">EXPERIENCIA ‒ Conservación ‒ Renovación RUP ‒ Cesación efectos RUP / </w:t>
            </w:r>
            <w:r w:rsidRPr="00254E6E">
              <w:rPr>
                <w:rFonts w:ascii="Arial" w:hAnsi="Arial" w:cs="Arial"/>
                <w:bCs/>
                <w:sz w:val="22"/>
                <w:lang w:val="es-ES"/>
              </w:rPr>
              <w:t xml:space="preserve">EXPERIENCIA </w:t>
            </w:r>
            <w:r w:rsidRPr="00254E6E">
              <w:rPr>
                <w:rFonts w:ascii="Arial" w:eastAsia="Calibri" w:hAnsi="Arial" w:cs="Arial"/>
                <w:bCs/>
                <w:sz w:val="22"/>
                <w:lang w:val="es-ES"/>
              </w:rPr>
              <w:t>–</w:t>
            </w:r>
            <w:r w:rsidRPr="00254E6E">
              <w:rPr>
                <w:rFonts w:ascii="Arial" w:hAnsi="Arial" w:cs="Arial"/>
                <w:bCs/>
                <w:sz w:val="22"/>
                <w:lang w:val="es-ES"/>
              </w:rPr>
              <w:t xml:space="preserve"> Conservación </w:t>
            </w:r>
            <w:r w:rsidRPr="00254E6E">
              <w:rPr>
                <w:rFonts w:ascii="Arial" w:eastAsia="Calibri" w:hAnsi="Arial" w:cs="Arial"/>
                <w:bCs/>
                <w:sz w:val="22"/>
                <w:lang w:val="es-ES"/>
              </w:rPr>
              <w:t xml:space="preserve">– </w:t>
            </w:r>
            <w:r w:rsidRPr="00254E6E">
              <w:rPr>
                <w:rFonts w:ascii="Arial" w:hAnsi="Arial" w:cs="Arial"/>
                <w:bCs/>
                <w:sz w:val="22"/>
                <w:lang w:val="es-ES"/>
              </w:rPr>
              <w:t xml:space="preserve">Sociedades </w:t>
            </w:r>
            <w:r w:rsidRPr="00254E6E">
              <w:rPr>
                <w:rFonts w:ascii="Arial" w:eastAsia="Calibri" w:hAnsi="Arial" w:cs="Arial"/>
                <w:bCs/>
                <w:sz w:val="22"/>
                <w:lang w:val="es-ES"/>
              </w:rPr>
              <w:t>– M</w:t>
            </w:r>
            <w:r w:rsidRPr="00254E6E">
              <w:rPr>
                <w:rFonts w:ascii="Arial" w:hAnsi="Arial" w:cs="Arial"/>
                <w:bCs/>
                <w:sz w:val="22"/>
                <w:lang w:val="es-ES"/>
              </w:rPr>
              <w:t>enor a 3 años de constitución</w:t>
            </w:r>
          </w:p>
        </w:tc>
      </w:tr>
      <w:tr w:rsidR="003D1995" w:rsidRPr="00254E6E" w14:paraId="7270E12F" w14:textId="77777777" w:rsidTr="00E139BC">
        <w:trPr>
          <w:trHeight w:val="446"/>
        </w:trPr>
        <w:tc>
          <w:tcPr>
            <w:tcW w:w="2774" w:type="dxa"/>
          </w:tcPr>
          <w:p w14:paraId="42D007AD" w14:textId="77777777" w:rsidR="003D1995" w:rsidRPr="00254E6E" w:rsidRDefault="003D1995" w:rsidP="00E139BC">
            <w:pPr>
              <w:rPr>
                <w:rFonts w:ascii="Arial" w:eastAsia="Calibri" w:hAnsi="Arial" w:cs="Arial"/>
                <w:b/>
                <w:sz w:val="22"/>
                <w:lang w:val="es-ES"/>
              </w:rPr>
            </w:pPr>
            <w:r w:rsidRPr="00254E6E">
              <w:rPr>
                <w:rFonts w:ascii="Arial" w:eastAsia="Calibri" w:hAnsi="Arial" w:cs="Arial"/>
                <w:b/>
                <w:sz w:val="22"/>
                <w:lang w:val="es-ES"/>
              </w:rPr>
              <w:t>Radicación:</w:t>
            </w:r>
            <w:r w:rsidRPr="00254E6E">
              <w:rPr>
                <w:rFonts w:ascii="Arial" w:eastAsia="Calibri" w:hAnsi="Arial" w:cs="Arial"/>
                <w:sz w:val="22"/>
                <w:lang w:val="es-ES"/>
              </w:rPr>
              <w:t xml:space="preserve">                              </w:t>
            </w:r>
          </w:p>
        </w:tc>
        <w:tc>
          <w:tcPr>
            <w:tcW w:w="6435" w:type="dxa"/>
          </w:tcPr>
          <w:p w14:paraId="41C34F7A" w14:textId="68823CA2" w:rsidR="003D1995" w:rsidRPr="00254E6E" w:rsidRDefault="003D1995" w:rsidP="00E139BC">
            <w:pPr>
              <w:rPr>
                <w:rFonts w:ascii="Arial" w:eastAsia="Calibri" w:hAnsi="Arial" w:cs="Arial"/>
                <w:sz w:val="22"/>
                <w:lang w:val="es-ES"/>
              </w:rPr>
            </w:pPr>
            <w:r w:rsidRPr="00254E6E">
              <w:rPr>
                <w:rFonts w:ascii="Arial" w:eastAsia="Calibri" w:hAnsi="Arial" w:cs="Arial"/>
                <w:sz w:val="22"/>
                <w:lang w:val="es-ES"/>
              </w:rPr>
              <w:t xml:space="preserve">Respuesta a consulta # </w:t>
            </w:r>
            <w:r w:rsidR="00254E6E" w:rsidRPr="00254E6E">
              <w:rPr>
                <w:rFonts w:ascii="Arial" w:eastAsia="Calibri" w:hAnsi="Arial" w:cs="Arial"/>
                <w:sz w:val="22"/>
                <w:lang w:val="es-ES"/>
              </w:rPr>
              <w:t>P20210428003628</w:t>
            </w:r>
          </w:p>
          <w:p w14:paraId="7CCCD262" w14:textId="77777777" w:rsidR="003D1995" w:rsidRPr="00254E6E" w:rsidRDefault="003D1995" w:rsidP="00E139BC">
            <w:pPr>
              <w:rPr>
                <w:rFonts w:ascii="Arial" w:eastAsia="Calibri" w:hAnsi="Arial" w:cs="Arial"/>
                <w:sz w:val="22"/>
                <w:lang w:val="es-ES"/>
              </w:rPr>
            </w:pPr>
          </w:p>
          <w:p w14:paraId="58AFFC5A" w14:textId="77777777" w:rsidR="003D1995" w:rsidRPr="00254E6E" w:rsidRDefault="003D1995" w:rsidP="00E139BC">
            <w:pPr>
              <w:jc w:val="both"/>
              <w:rPr>
                <w:rFonts w:ascii="Arial" w:eastAsia="Calibri" w:hAnsi="Arial" w:cs="Arial"/>
                <w:sz w:val="22"/>
                <w:lang w:val="es-ES"/>
              </w:rPr>
            </w:pPr>
          </w:p>
        </w:tc>
      </w:tr>
    </w:tbl>
    <w:p w14:paraId="6F7BB5C4" w14:textId="2617A09C" w:rsidR="003D1995" w:rsidRPr="00254E6E" w:rsidRDefault="003D1995" w:rsidP="00E139BC">
      <w:pPr>
        <w:rPr>
          <w:rFonts w:ascii="Arial" w:eastAsia="Calibri" w:hAnsi="Arial" w:cs="Arial"/>
          <w:sz w:val="22"/>
          <w:lang w:val="es-ES"/>
        </w:rPr>
      </w:pPr>
      <w:r w:rsidRPr="00254E6E">
        <w:rPr>
          <w:rFonts w:ascii="Arial" w:eastAsia="Calibri" w:hAnsi="Arial" w:cs="Arial"/>
          <w:sz w:val="22"/>
          <w:lang w:val="es-ES"/>
        </w:rPr>
        <w:t xml:space="preserve">Estimado señor </w:t>
      </w:r>
      <w:r w:rsidR="00254E6E">
        <w:rPr>
          <w:rFonts w:ascii="Arial" w:eastAsia="Calibri" w:hAnsi="Arial" w:cs="Arial"/>
          <w:sz w:val="22"/>
          <w:lang w:val="es-ES"/>
        </w:rPr>
        <w:t>Zambrano</w:t>
      </w:r>
      <w:r w:rsidR="00997DF3" w:rsidRPr="00254E6E">
        <w:rPr>
          <w:rFonts w:ascii="Arial" w:eastAsia="Calibri" w:hAnsi="Arial" w:cs="Arial"/>
          <w:sz w:val="22"/>
          <w:lang w:val="es-ES"/>
        </w:rPr>
        <w:t>:</w:t>
      </w:r>
    </w:p>
    <w:p w14:paraId="77F91D68" w14:textId="77777777" w:rsidR="003D1995" w:rsidRPr="00254E6E" w:rsidRDefault="003D1995" w:rsidP="003D1995">
      <w:pPr>
        <w:spacing w:line="276" w:lineRule="auto"/>
        <w:rPr>
          <w:rFonts w:ascii="Arial" w:eastAsia="Calibri" w:hAnsi="Arial" w:cs="Arial"/>
          <w:sz w:val="22"/>
          <w:lang w:val="es-ES"/>
        </w:rPr>
      </w:pPr>
    </w:p>
    <w:p w14:paraId="2AEA0CB4" w14:textId="7E2C1B25" w:rsidR="003D1995" w:rsidRPr="00254E6E" w:rsidRDefault="003D1995" w:rsidP="003D1995">
      <w:pPr>
        <w:spacing w:line="276" w:lineRule="auto"/>
        <w:ind w:right="49"/>
        <w:jc w:val="both"/>
        <w:rPr>
          <w:rFonts w:ascii="Arial" w:eastAsia="Calibri" w:hAnsi="Arial" w:cs="Arial"/>
          <w:sz w:val="22"/>
          <w:lang w:val="es-ES"/>
        </w:rPr>
      </w:pPr>
      <w:bookmarkStart w:id="1" w:name="_Hlk44427398"/>
      <w:r w:rsidRPr="00254E6E">
        <w:rPr>
          <w:rFonts w:ascii="Arial" w:eastAsia="Calibri" w:hAnsi="Arial" w:cs="Arial"/>
          <w:sz w:val="22"/>
          <w:lang w:val="es-ES"/>
        </w:rPr>
        <w:t xml:space="preserve">La Agencia Nacional de Contratación Pública – Colombia Compra Eficiente responde su consulta del </w:t>
      </w:r>
      <w:r w:rsidR="00254E6E">
        <w:rPr>
          <w:rFonts w:ascii="Arial" w:eastAsia="Calibri" w:hAnsi="Arial" w:cs="Arial"/>
          <w:sz w:val="22"/>
          <w:lang w:val="es-ES"/>
        </w:rPr>
        <w:t xml:space="preserve">28 de marzo </w:t>
      </w:r>
      <w:r w:rsidR="00F614F9">
        <w:rPr>
          <w:rFonts w:ascii="Arial" w:eastAsia="Calibri" w:hAnsi="Arial" w:cs="Arial"/>
          <w:sz w:val="22"/>
          <w:lang w:val="es-ES"/>
        </w:rPr>
        <w:t>de 2021</w:t>
      </w:r>
      <w:r w:rsidRPr="00254E6E">
        <w:rPr>
          <w:rFonts w:ascii="Arial" w:eastAsia="Calibri" w:hAnsi="Arial" w:cs="Arial"/>
          <w:sz w:val="22"/>
          <w:lang w:val="es-ES"/>
        </w:rPr>
        <w:t xml:space="preserve"> en ejercicio de la competencia otorgada por el numeral 8 del artículo 11 y el numeral 5 del artículo 3 del Decreto Ley 4170 de 2011. </w:t>
      </w:r>
    </w:p>
    <w:p w14:paraId="6FF61AD9" w14:textId="250B629E" w:rsidR="003D1995" w:rsidRDefault="003D1995" w:rsidP="003D1995">
      <w:pPr>
        <w:pStyle w:val="Prrafodelista"/>
        <w:tabs>
          <w:tab w:val="left" w:pos="284"/>
        </w:tabs>
        <w:spacing w:line="276" w:lineRule="auto"/>
        <w:ind w:left="0"/>
        <w:contextualSpacing w:val="0"/>
        <w:jc w:val="both"/>
        <w:rPr>
          <w:rFonts w:ascii="Arial" w:eastAsia="Calibri" w:hAnsi="Arial" w:cs="Arial"/>
          <w:b/>
          <w:sz w:val="22"/>
          <w:lang w:val="es-ES"/>
        </w:rPr>
      </w:pPr>
    </w:p>
    <w:p w14:paraId="40D31FBD" w14:textId="77777777" w:rsidR="007079F7" w:rsidRPr="00254E6E" w:rsidRDefault="007079F7" w:rsidP="003D1995">
      <w:pPr>
        <w:pStyle w:val="Prrafodelista"/>
        <w:tabs>
          <w:tab w:val="left" w:pos="284"/>
        </w:tabs>
        <w:spacing w:line="276" w:lineRule="auto"/>
        <w:ind w:left="0"/>
        <w:contextualSpacing w:val="0"/>
        <w:jc w:val="both"/>
        <w:rPr>
          <w:rFonts w:ascii="Arial" w:eastAsia="Calibri" w:hAnsi="Arial" w:cs="Arial"/>
          <w:b/>
          <w:sz w:val="22"/>
          <w:lang w:val="es-ES"/>
        </w:rPr>
      </w:pPr>
    </w:p>
    <w:bookmarkEnd w:id="1"/>
    <w:p w14:paraId="4F70DF48" w14:textId="77777777" w:rsidR="003D1995" w:rsidRPr="00254E6E" w:rsidRDefault="003D1995" w:rsidP="003D1995">
      <w:pPr>
        <w:pStyle w:val="Prrafodelista"/>
        <w:numPr>
          <w:ilvl w:val="0"/>
          <w:numId w:val="1"/>
        </w:numPr>
        <w:tabs>
          <w:tab w:val="left" w:pos="284"/>
        </w:tabs>
        <w:spacing w:line="276" w:lineRule="auto"/>
        <w:ind w:left="0" w:firstLine="0"/>
        <w:contextualSpacing w:val="0"/>
        <w:jc w:val="both"/>
        <w:rPr>
          <w:rFonts w:ascii="Arial" w:eastAsia="Calibri" w:hAnsi="Arial" w:cs="Arial"/>
          <w:b/>
          <w:sz w:val="22"/>
          <w:lang w:val="es-ES"/>
        </w:rPr>
      </w:pPr>
      <w:r w:rsidRPr="00254E6E">
        <w:rPr>
          <w:rFonts w:ascii="Arial" w:eastAsia="Calibri" w:hAnsi="Arial" w:cs="Arial"/>
          <w:b/>
          <w:sz w:val="22"/>
          <w:lang w:val="es-ES"/>
        </w:rPr>
        <w:t xml:space="preserve">Problemas planteados </w:t>
      </w:r>
    </w:p>
    <w:p w14:paraId="40178E35" w14:textId="77777777" w:rsidR="007079F7" w:rsidRPr="00254E6E" w:rsidRDefault="007079F7" w:rsidP="003D1995">
      <w:pPr>
        <w:tabs>
          <w:tab w:val="left" w:pos="426"/>
        </w:tabs>
        <w:spacing w:line="276" w:lineRule="auto"/>
        <w:jc w:val="both"/>
        <w:rPr>
          <w:rFonts w:ascii="Arial" w:eastAsia="Calibri" w:hAnsi="Arial" w:cs="Arial"/>
          <w:b/>
          <w:sz w:val="22"/>
          <w:lang w:val="es-ES"/>
        </w:rPr>
      </w:pPr>
    </w:p>
    <w:p w14:paraId="125AFB31" w14:textId="45A85CFD" w:rsidR="007079F7" w:rsidRDefault="003D1995" w:rsidP="007079F7">
      <w:pPr>
        <w:spacing w:line="276" w:lineRule="auto"/>
        <w:jc w:val="both"/>
        <w:rPr>
          <w:rFonts w:ascii="Arial" w:hAnsi="Arial" w:cs="Arial"/>
          <w:sz w:val="22"/>
          <w:lang w:val="es-ES"/>
        </w:rPr>
      </w:pPr>
      <w:r w:rsidRPr="00254E6E">
        <w:rPr>
          <w:rFonts w:ascii="Arial" w:hAnsi="Arial" w:cs="Arial"/>
          <w:sz w:val="22"/>
          <w:lang w:val="es-ES"/>
        </w:rPr>
        <w:t>Usted realiza la siguiente</w:t>
      </w:r>
      <w:r w:rsidR="00254E6E" w:rsidRPr="00254E6E">
        <w:rPr>
          <w:rFonts w:ascii="Arial" w:hAnsi="Arial" w:cs="Arial"/>
          <w:sz w:val="22"/>
          <w:lang w:val="es-ES"/>
        </w:rPr>
        <w:t xml:space="preserve"> consulta</w:t>
      </w:r>
      <w:r w:rsidRPr="00254E6E">
        <w:rPr>
          <w:rFonts w:ascii="Arial" w:hAnsi="Arial" w:cs="Arial"/>
          <w:sz w:val="22"/>
          <w:lang w:val="es-ES"/>
        </w:rPr>
        <w:t>: «</w:t>
      </w:r>
      <w:r w:rsidR="00254E6E" w:rsidRPr="00254E6E">
        <w:rPr>
          <w:rFonts w:ascii="Arial" w:hAnsi="Arial" w:cs="Arial"/>
          <w:sz w:val="22"/>
          <w:lang w:val="es-ES"/>
        </w:rPr>
        <w:t xml:space="preserve">[¿]La experiencia en el </w:t>
      </w:r>
      <w:proofErr w:type="spellStart"/>
      <w:r w:rsidR="00254E6E" w:rsidRPr="00254E6E">
        <w:rPr>
          <w:rFonts w:ascii="Arial" w:hAnsi="Arial" w:cs="Arial"/>
          <w:sz w:val="22"/>
          <w:lang w:val="es-ES"/>
        </w:rPr>
        <w:t>rup</w:t>
      </w:r>
      <w:proofErr w:type="spellEnd"/>
      <w:r w:rsidR="00254E6E" w:rsidRPr="00254E6E">
        <w:rPr>
          <w:rFonts w:ascii="Arial" w:hAnsi="Arial" w:cs="Arial"/>
          <w:sz w:val="22"/>
          <w:lang w:val="es-ES"/>
        </w:rPr>
        <w:t xml:space="preserve"> (sic) de los accionistas de una persona jurídica se puede continuar utilizando después de 3 años de constituida[?]»</w:t>
      </w:r>
    </w:p>
    <w:p w14:paraId="67043AC3" w14:textId="77777777" w:rsidR="007079F7" w:rsidRPr="007079F7" w:rsidRDefault="007079F7" w:rsidP="007079F7">
      <w:pPr>
        <w:spacing w:line="276" w:lineRule="auto"/>
        <w:jc w:val="both"/>
        <w:rPr>
          <w:rFonts w:ascii="Arial" w:hAnsi="Arial" w:cs="Arial"/>
          <w:sz w:val="22"/>
          <w:lang w:val="es-ES"/>
        </w:rPr>
      </w:pPr>
    </w:p>
    <w:p w14:paraId="7E008C7A" w14:textId="77777777" w:rsidR="003D1995" w:rsidRPr="00254E6E" w:rsidRDefault="003D1995" w:rsidP="003D1995">
      <w:pPr>
        <w:pStyle w:val="Prrafodelista"/>
        <w:numPr>
          <w:ilvl w:val="0"/>
          <w:numId w:val="1"/>
        </w:numPr>
        <w:tabs>
          <w:tab w:val="left" w:pos="426"/>
        </w:tabs>
        <w:spacing w:line="276" w:lineRule="auto"/>
        <w:ind w:left="284" w:hanging="284"/>
        <w:contextualSpacing w:val="0"/>
        <w:jc w:val="both"/>
        <w:rPr>
          <w:rFonts w:ascii="Arial" w:eastAsia="Calibri" w:hAnsi="Arial" w:cs="Arial"/>
          <w:b/>
          <w:sz w:val="22"/>
          <w:lang w:val="es-ES"/>
        </w:rPr>
      </w:pPr>
      <w:r w:rsidRPr="00254E6E">
        <w:rPr>
          <w:rFonts w:ascii="Arial" w:eastAsia="Calibri" w:hAnsi="Arial" w:cs="Arial"/>
          <w:b/>
          <w:sz w:val="22"/>
          <w:lang w:val="es-ES"/>
        </w:rPr>
        <w:t>Consideraciones</w:t>
      </w:r>
    </w:p>
    <w:p w14:paraId="761A19BB" w14:textId="77777777" w:rsidR="003D1995" w:rsidRPr="00254E6E" w:rsidRDefault="003D1995" w:rsidP="003D1995">
      <w:pPr>
        <w:tabs>
          <w:tab w:val="left" w:pos="426"/>
        </w:tabs>
        <w:spacing w:line="276" w:lineRule="auto"/>
        <w:jc w:val="both"/>
        <w:rPr>
          <w:rFonts w:ascii="Arial" w:eastAsia="Calibri" w:hAnsi="Arial" w:cs="Arial"/>
          <w:b/>
          <w:sz w:val="22"/>
          <w:lang w:val="es-ES"/>
        </w:rPr>
      </w:pPr>
    </w:p>
    <w:p w14:paraId="770574B3" w14:textId="719C7A38" w:rsidR="00E34A1C" w:rsidRPr="00254E6E" w:rsidRDefault="00E34A1C">
      <w:pPr>
        <w:spacing w:after="120" w:line="276" w:lineRule="auto"/>
        <w:jc w:val="both"/>
        <w:rPr>
          <w:rFonts w:ascii="Arial" w:eastAsia="Calibri" w:hAnsi="Arial" w:cs="Arial"/>
          <w:sz w:val="22"/>
          <w:lang w:val="es-ES"/>
        </w:rPr>
      </w:pPr>
      <w:r w:rsidRPr="00254E6E">
        <w:rPr>
          <w:rFonts w:ascii="Arial" w:eastAsia="Calibri" w:hAnsi="Arial" w:cs="Arial"/>
          <w:sz w:val="22"/>
          <w:lang w:val="es-ES"/>
        </w:rPr>
        <w:lastRenderedPageBreak/>
        <w:t xml:space="preserve">La Agencia Nacional de Contratación Pública </w:t>
      </w:r>
      <w:r w:rsidR="00E63802">
        <w:rPr>
          <w:rFonts w:ascii="Arial" w:eastAsia="Calibri" w:hAnsi="Arial" w:cs="Arial"/>
          <w:sz w:val="22"/>
          <w:lang w:val="es-ES"/>
        </w:rPr>
        <w:softHyphen/>
        <w:t>–</w:t>
      </w:r>
      <w:r w:rsidRPr="00254E6E">
        <w:rPr>
          <w:rFonts w:ascii="Arial" w:eastAsia="Calibri" w:hAnsi="Arial" w:cs="Arial"/>
          <w:sz w:val="22"/>
          <w:lang w:val="es-ES"/>
        </w:rPr>
        <w:t>Colombia Compra Eficiente</w:t>
      </w:r>
      <w:r w:rsidR="00E63802">
        <w:rPr>
          <w:rFonts w:ascii="Arial" w:eastAsia="Calibri" w:hAnsi="Arial" w:cs="Arial"/>
          <w:sz w:val="22"/>
          <w:lang w:val="es-ES"/>
        </w:rPr>
        <w:t>–</w:t>
      </w:r>
      <w:r w:rsidRPr="00254E6E">
        <w:rPr>
          <w:rFonts w:ascii="Arial" w:eastAsia="Calibri" w:hAnsi="Arial" w:cs="Arial"/>
          <w:sz w:val="22"/>
          <w:lang w:val="es-ES"/>
        </w:rPr>
        <w:t>, en los conceptos, C-025 del 16 de marzo de 2020, C-051 del 2 de marzo de 2020, C-165 del 1 de abril de 2020, C-233 del 16 de abril de 2020, C-407 de 12 de junio de 2020, C-398 de 30 de junio de 2020, C-470 del 14 de julio de 2020 C-584 de 31 de agosto 2020, C-619 de 21 de septiembre 2020</w:t>
      </w:r>
      <w:r w:rsidR="00254E6E">
        <w:rPr>
          <w:rFonts w:ascii="Arial" w:eastAsia="Calibri" w:hAnsi="Arial" w:cs="Arial"/>
          <w:sz w:val="22"/>
          <w:lang w:val="es-ES"/>
        </w:rPr>
        <w:t>,</w:t>
      </w:r>
      <w:r w:rsidRPr="00254E6E">
        <w:rPr>
          <w:rFonts w:ascii="Arial" w:eastAsia="Calibri" w:hAnsi="Arial" w:cs="Arial"/>
          <w:sz w:val="22"/>
          <w:lang w:val="es-ES"/>
        </w:rPr>
        <w:t xml:space="preserve"> C-710 del 9 de diciembre de 2020,</w:t>
      </w:r>
      <w:r w:rsidR="00254E6E">
        <w:rPr>
          <w:rFonts w:ascii="Arial" w:eastAsia="Calibri" w:hAnsi="Arial" w:cs="Arial"/>
          <w:sz w:val="22"/>
          <w:lang w:val="es-ES"/>
        </w:rPr>
        <w:t xml:space="preserve"> C-729 del 11 de diciembre de 2020 y C-103 del 24 de marzo de 2021,</w:t>
      </w:r>
      <w:r w:rsidRPr="00254E6E">
        <w:rPr>
          <w:rFonts w:ascii="Arial" w:eastAsia="Calibri" w:hAnsi="Arial" w:cs="Arial"/>
          <w:sz w:val="22"/>
          <w:lang w:val="es-ES"/>
        </w:rPr>
        <w:t xml:space="preserve"> estudió la acreditación de la experiencia de los socios por una sociedad nueva con menos de 3 años de constitución</w:t>
      </w:r>
      <w:r w:rsidRPr="00254E6E">
        <w:rPr>
          <w:rStyle w:val="Refdenotaalpie"/>
          <w:rFonts w:ascii="Arial" w:eastAsia="Calibri" w:hAnsi="Arial" w:cs="Arial"/>
          <w:sz w:val="22"/>
          <w:lang w:val="es-ES"/>
        </w:rPr>
        <w:footnoteReference w:id="1"/>
      </w:r>
      <w:r w:rsidRPr="00254E6E">
        <w:rPr>
          <w:rFonts w:ascii="Arial" w:eastAsia="Calibri" w:hAnsi="Arial" w:cs="Arial"/>
          <w:sz w:val="22"/>
          <w:lang w:val="es-ES"/>
        </w:rPr>
        <w:t xml:space="preserve">. </w:t>
      </w:r>
      <w:r w:rsidR="00254E6E">
        <w:rPr>
          <w:rFonts w:ascii="Arial" w:eastAsia="Calibri" w:hAnsi="Arial" w:cs="Arial"/>
          <w:sz w:val="22"/>
          <w:lang w:val="es-ES"/>
        </w:rPr>
        <w:t>La tesis desarrollada en estos conceptos se reitera a continuación:</w:t>
      </w:r>
    </w:p>
    <w:p w14:paraId="03FEB2CD" w14:textId="77777777" w:rsidR="00254E6E" w:rsidRPr="00254E6E" w:rsidRDefault="00254E6E" w:rsidP="00061A12">
      <w:pPr>
        <w:spacing w:after="120" w:line="276" w:lineRule="auto"/>
        <w:ind w:firstLine="708"/>
        <w:jc w:val="both"/>
        <w:rPr>
          <w:rFonts w:ascii="Arial" w:hAnsi="Arial" w:cs="Arial"/>
          <w:sz w:val="22"/>
        </w:rPr>
      </w:pPr>
      <w:r w:rsidRPr="00254E6E">
        <w:rPr>
          <w:rFonts w:ascii="Arial" w:hAnsi="Arial" w:cs="Arial"/>
          <w:sz w:val="22"/>
        </w:rPr>
        <w:t xml:space="preserve">El artículo 5 de la Ley 1150 de 2007 dispone que la capacidad jurídica y las condiciones de experiencia, capacidad financiera y de organización de los proponentes serán objeto de verificación por parte de las entidades como requisitos habilitantes para participar en los procesos de selección y no otorgarán puntaje. Lo anterior con excepción de la selección de consultores mediante un concurso de méritos, donde es posible otorgar puntaje al criterio de experiencia. </w:t>
      </w:r>
    </w:p>
    <w:p w14:paraId="5D1E047D" w14:textId="77777777" w:rsidR="00254E6E" w:rsidRPr="00254E6E" w:rsidRDefault="00254E6E" w:rsidP="00254E6E">
      <w:pPr>
        <w:spacing w:after="120" w:line="276" w:lineRule="auto"/>
        <w:ind w:firstLine="709"/>
        <w:jc w:val="both"/>
        <w:rPr>
          <w:rFonts w:ascii="Arial" w:hAnsi="Arial" w:cs="Arial"/>
          <w:sz w:val="22"/>
        </w:rPr>
      </w:pPr>
      <w:r w:rsidRPr="00254E6E">
        <w:rPr>
          <w:rFonts w:ascii="Arial" w:hAnsi="Arial" w:cs="Arial"/>
          <w:sz w:val="22"/>
        </w:rPr>
        <w:t>Por su parte, el artículo 6 de la Ley 1150 de 2007 señala que todas las personas naturales o jurídicas, nacionales o extranjeras, domiciliadas o con sucursal en Colombia, que aspiren celebrar contratos con las entidades deberán estar inscritas en el Registro Único de Proponentes. En dicho registro constará la información relacionada con la experiencia, capacidad jurídica, financiera y de organización del proponente y su clasificación. En relación con el requisito habilitante de experiencia, en el «Manual para determinar y verificar requisitos habilitantes en los procesos de contratación» se define la experiencia como «el conocimiento del proponente derivado de su participación previa en actividades iguales o similares a las previstas en el objeto del contrato».</w:t>
      </w:r>
    </w:p>
    <w:p w14:paraId="639F1B15" w14:textId="77777777" w:rsidR="00254E6E" w:rsidRPr="00254E6E" w:rsidRDefault="00254E6E" w:rsidP="00254E6E">
      <w:pPr>
        <w:spacing w:after="120" w:line="276" w:lineRule="auto"/>
        <w:ind w:firstLine="709"/>
        <w:jc w:val="both"/>
        <w:rPr>
          <w:rFonts w:ascii="Arial" w:hAnsi="Arial" w:cs="Arial"/>
          <w:sz w:val="22"/>
        </w:rPr>
      </w:pPr>
      <w:r w:rsidRPr="00254E6E">
        <w:rPr>
          <w:rFonts w:ascii="Arial" w:hAnsi="Arial" w:cs="Arial"/>
          <w:sz w:val="22"/>
        </w:rPr>
        <w:t>El Decreto 1082 de 2015, en el artículo 2.2.1.1.1.5.2, numeral 2.1, establece que si una persona natural se inscribe en el RUP aportará los certificados de experiencia en provisión de bienes, obras y servicios, los cuales deben ser expedidos por terceros que hayan recibido tales bienes, obras y servicios, y deben corresponder a contratos ejecutados o copias de los contratos cuando el interesado no puede obtener tal certificado</w:t>
      </w:r>
      <w:r w:rsidRPr="00254E6E">
        <w:rPr>
          <w:rFonts w:ascii="Arial" w:hAnsi="Arial" w:cs="Arial"/>
          <w:sz w:val="22"/>
          <w:vertAlign w:val="superscript"/>
        </w:rPr>
        <w:footnoteReference w:id="2"/>
      </w:r>
      <w:r w:rsidRPr="00254E6E">
        <w:rPr>
          <w:rFonts w:ascii="Arial" w:hAnsi="Arial" w:cs="Arial"/>
          <w:sz w:val="22"/>
        </w:rPr>
        <w:t xml:space="preserve">.  </w:t>
      </w:r>
    </w:p>
    <w:p w14:paraId="69DECF24" w14:textId="77777777" w:rsidR="00254E6E" w:rsidRPr="00254E6E" w:rsidRDefault="00254E6E" w:rsidP="00254E6E">
      <w:pPr>
        <w:spacing w:after="120" w:line="276" w:lineRule="auto"/>
        <w:ind w:firstLine="709"/>
        <w:jc w:val="both"/>
        <w:rPr>
          <w:rFonts w:ascii="Arial" w:hAnsi="Arial" w:cs="Arial"/>
          <w:sz w:val="22"/>
        </w:rPr>
      </w:pPr>
      <w:r w:rsidRPr="00254E6E">
        <w:rPr>
          <w:rFonts w:ascii="Arial" w:hAnsi="Arial" w:cs="Arial"/>
          <w:sz w:val="22"/>
        </w:rPr>
        <w:lastRenderedPageBreak/>
        <w:t>El numeral 2.5</w:t>
      </w:r>
      <w:r w:rsidRPr="00254E6E">
        <w:rPr>
          <w:rFonts w:ascii="Arial" w:hAnsi="Arial" w:cs="Arial"/>
          <w:sz w:val="22"/>
          <w:vertAlign w:val="superscript"/>
        </w:rPr>
        <w:footnoteReference w:id="3"/>
      </w:r>
      <w:r w:rsidRPr="00254E6E">
        <w:rPr>
          <w:rFonts w:ascii="Arial" w:hAnsi="Arial" w:cs="Arial"/>
          <w:sz w:val="22"/>
        </w:rPr>
        <w:t xml:space="preserve"> del mismo artículo señala que la persona jurídica se registrará aportando los certificados de la experiencia en la provisión de los bienes, obras y servicios que ofrecerá a las entidades estatales, los cuales deben ser expedidos por terceros que hayan recibido tales bienes, obras o servicios y deben corresponder a contratos ejecutados o copias de los contratos cuando el interesado no puede obtener tal certificado. </w:t>
      </w:r>
    </w:p>
    <w:p w14:paraId="23BD821B" w14:textId="77777777" w:rsidR="00254E6E" w:rsidRPr="00254E6E" w:rsidRDefault="00254E6E" w:rsidP="00254E6E">
      <w:pPr>
        <w:spacing w:after="120" w:line="276" w:lineRule="auto"/>
        <w:ind w:firstLine="709"/>
        <w:jc w:val="both"/>
        <w:rPr>
          <w:rFonts w:ascii="Arial" w:hAnsi="Arial" w:cs="Arial"/>
          <w:sz w:val="22"/>
        </w:rPr>
      </w:pPr>
      <w:r w:rsidRPr="00254E6E">
        <w:rPr>
          <w:rFonts w:ascii="Arial" w:hAnsi="Arial" w:cs="Arial"/>
          <w:sz w:val="22"/>
        </w:rPr>
        <w:t>El interesado debe indicar en cada certificado, o en cada copia de los contratos, los bienes, obras y servicios a los cuales corresponde la experiencia que pretende acreditar, identificándolos con el Clasificador de Bienes y Servicios, en el tercer nivel. Si la constitución del interesado es menor a 3 años, puede acreditar la experiencia de sus accionistas, socios o constituyentes.</w:t>
      </w:r>
    </w:p>
    <w:p w14:paraId="3834FA1C" w14:textId="77777777" w:rsidR="00254E6E" w:rsidRPr="00254E6E" w:rsidRDefault="00254E6E" w:rsidP="00254E6E">
      <w:pPr>
        <w:spacing w:after="120" w:line="276" w:lineRule="auto"/>
        <w:ind w:firstLine="709"/>
        <w:jc w:val="both"/>
        <w:rPr>
          <w:rFonts w:ascii="Arial" w:hAnsi="Arial" w:cs="Arial"/>
          <w:sz w:val="22"/>
        </w:rPr>
      </w:pPr>
      <w:bookmarkStart w:id="2" w:name="_Hlk67496603"/>
      <w:r w:rsidRPr="00254E6E">
        <w:rPr>
          <w:rFonts w:ascii="Arial" w:hAnsi="Arial" w:cs="Arial"/>
          <w:sz w:val="22"/>
        </w:rPr>
        <w:t xml:space="preserve">La parte final del numeral 2.5 del artículo citado incluye una medida diferenciada para las personas jurídicas cuya constitución sea menor a 3 años al momento del registro. Esta prerrogativa, que puede entenderse como una medida de fomento a la participación de pequeños oferentes en la contratación estatal, permite que las sociedades relativamente nuevas ─con menos de 3 años de constitución─ puedan acreditar como experiencia en el RUP la de sus accionistas, socios o constituyentes. A pesar de que la experiencia es inherente a la persona que la ha obtenido, razón por la cual es intransferible en virtud de su carácter personalísimo, por disposición legal o reglamentaria, en casos excepcionales, como el descrito por el artículo mencionado, se aplica de otra forma. </w:t>
      </w:r>
    </w:p>
    <w:p w14:paraId="636BD5C4" w14:textId="77777777" w:rsidR="00254E6E" w:rsidRPr="00254E6E" w:rsidRDefault="00254E6E" w:rsidP="00254E6E">
      <w:pPr>
        <w:spacing w:after="120" w:line="276" w:lineRule="auto"/>
        <w:ind w:firstLine="709"/>
        <w:jc w:val="both"/>
        <w:rPr>
          <w:rFonts w:ascii="Arial" w:hAnsi="Arial" w:cs="Arial"/>
          <w:sz w:val="22"/>
        </w:rPr>
      </w:pPr>
      <w:r w:rsidRPr="00254E6E">
        <w:rPr>
          <w:rFonts w:ascii="Arial" w:hAnsi="Arial" w:cs="Arial"/>
          <w:sz w:val="22"/>
        </w:rPr>
        <w:t>La finalidad de esta norma es permitir que las sociedades que no cuentan con la experiencia suficiente para contratar con el Estado puedan apoyarse en la experiencia de sus accionistas, socios o constituyentes con el fin de incentivar la competencia en la contratación estatal. Así las cosas, el socio transfiere la experiencia adquirida directamente a la sociedad de la que es parte, para que esta, como persona jurídica independiente, pueda cumplir con los requisitos habilitantes o puntuables que establezcan las entidades estatales en sus procesos de contratación, y de esta forma promover el desarrollo de la empresa y la pluralidad de oferentes en la contratación pública.</w:t>
      </w:r>
    </w:p>
    <w:bookmarkEnd w:id="2"/>
    <w:p w14:paraId="3AF4B8FD" w14:textId="77777777" w:rsidR="00254E6E" w:rsidRPr="00254E6E" w:rsidRDefault="00254E6E" w:rsidP="00254E6E">
      <w:pPr>
        <w:spacing w:after="120" w:line="276" w:lineRule="auto"/>
        <w:ind w:firstLine="709"/>
        <w:jc w:val="both"/>
        <w:rPr>
          <w:rFonts w:ascii="Arial" w:hAnsi="Arial" w:cs="Arial"/>
          <w:sz w:val="22"/>
        </w:rPr>
      </w:pPr>
      <w:r w:rsidRPr="00254E6E">
        <w:rPr>
          <w:rFonts w:ascii="Arial" w:hAnsi="Arial" w:cs="Arial"/>
          <w:sz w:val="22"/>
        </w:rPr>
        <w:t xml:space="preserve">Este aspecto ofrece meridiana claridad en cuanto a su aplicación, pero el interrogante que ha generado la norma es el siguiente: ¿qué pasa después de que la sociedad a la que le ha sido permitido certificar la experiencia de sus socios, accionistas o </w:t>
      </w:r>
      <w:r w:rsidRPr="00254E6E">
        <w:rPr>
          <w:rFonts w:ascii="Arial" w:hAnsi="Arial" w:cs="Arial"/>
          <w:sz w:val="22"/>
        </w:rPr>
        <w:lastRenderedPageBreak/>
        <w:t xml:space="preserve">constituyentes cumple 3 años de su constitución? ¿puede seguir siendo beneficiaria de la prerrogativa del numeral 2.5 del artículo 2.2.1.1.1.5.2 del Decreto 1082 de 2015? Estos interrogantes han sido planteados a la Subdirección de Gestión Contractual y se han desarrollado, en torno a dos posiciones, que se plantean a continuación: </w:t>
      </w:r>
    </w:p>
    <w:p w14:paraId="59699441" w14:textId="77777777" w:rsidR="00254E6E" w:rsidRPr="00254E6E" w:rsidRDefault="00254E6E" w:rsidP="00254E6E">
      <w:pPr>
        <w:spacing w:after="120" w:line="276" w:lineRule="auto"/>
        <w:ind w:firstLine="709"/>
        <w:jc w:val="both"/>
        <w:rPr>
          <w:rFonts w:ascii="Arial" w:hAnsi="Arial" w:cs="Arial"/>
          <w:sz w:val="22"/>
        </w:rPr>
      </w:pPr>
      <w:r w:rsidRPr="00254E6E">
        <w:rPr>
          <w:rFonts w:ascii="Arial" w:hAnsi="Arial" w:cs="Arial"/>
          <w:sz w:val="22"/>
        </w:rPr>
        <w:t xml:space="preserve">En el concepto identificado con radicado No. 4201814000001418 del 3 de abril de 2018, donde frente a la misma pregunta esta Subdirección respondió que después de cumplidos los 3 años contados desde la constitución de la sociedad, las entidades estatales no deberían tener como válida la experiencia acreditada por los socios, accionistas o constituyentes. Como fundamento de esta posición, la Subdirección consideró lo siguiente: </w:t>
      </w:r>
    </w:p>
    <w:p w14:paraId="4269735B" w14:textId="77777777" w:rsidR="00254E6E" w:rsidRPr="00254E6E" w:rsidRDefault="00254E6E" w:rsidP="00254E6E">
      <w:pPr>
        <w:spacing w:after="120" w:line="276" w:lineRule="auto"/>
        <w:ind w:firstLine="709"/>
        <w:jc w:val="both"/>
        <w:rPr>
          <w:rFonts w:ascii="Arial" w:hAnsi="Arial" w:cs="Arial"/>
          <w:sz w:val="22"/>
        </w:rPr>
      </w:pPr>
      <w:r w:rsidRPr="00254E6E">
        <w:rPr>
          <w:rFonts w:ascii="Arial" w:hAnsi="Arial" w:cs="Arial"/>
          <w:sz w:val="22"/>
        </w:rPr>
        <w:t xml:space="preserve">i) La posición de Colombia Compra Eficiente respecto a la validez de la experiencia de los accionistas, socios o constituyentes, acreditada en el RUP por una sociedad nueva, cuando está ya superó los 3 años de constituida, ha variado. </w:t>
      </w:r>
    </w:p>
    <w:p w14:paraId="627B398E" w14:textId="77777777" w:rsidR="00254E6E" w:rsidRPr="00254E6E" w:rsidRDefault="00254E6E" w:rsidP="00254E6E">
      <w:pPr>
        <w:spacing w:after="120" w:line="276" w:lineRule="auto"/>
        <w:ind w:firstLine="709"/>
        <w:jc w:val="both"/>
        <w:rPr>
          <w:rFonts w:ascii="Arial" w:hAnsi="Arial" w:cs="Arial"/>
          <w:sz w:val="22"/>
        </w:rPr>
      </w:pPr>
      <w:r w:rsidRPr="00254E6E">
        <w:rPr>
          <w:rFonts w:ascii="Arial" w:hAnsi="Arial" w:cs="Arial"/>
          <w:sz w:val="22"/>
        </w:rPr>
        <w:t xml:space="preserve">ii) El Decreto 1082 de 2015 establece que para la inscripción en el RUP de una persona jurídica, si su constitución es menor a 3 años, puede acreditar la experiencia de sus accionistas, socios o constituyentes. </w:t>
      </w:r>
    </w:p>
    <w:p w14:paraId="2C5BF213" w14:textId="77777777" w:rsidR="00254E6E" w:rsidRPr="00254E6E" w:rsidRDefault="00254E6E" w:rsidP="00254E6E">
      <w:pPr>
        <w:spacing w:after="120" w:line="276" w:lineRule="auto"/>
        <w:ind w:firstLine="709"/>
        <w:jc w:val="both"/>
        <w:rPr>
          <w:rFonts w:ascii="Arial" w:hAnsi="Arial" w:cs="Arial"/>
          <w:sz w:val="22"/>
        </w:rPr>
      </w:pPr>
      <w:r w:rsidRPr="00254E6E">
        <w:rPr>
          <w:rFonts w:ascii="Arial" w:hAnsi="Arial" w:cs="Arial"/>
          <w:sz w:val="22"/>
        </w:rPr>
        <w:t xml:space="preserve">iii) La finalidad de esta norma es permitir que las sociedades que no cuentan con la experiencia suficiente para contratar con el Estado puedan apoyarse en la experiencia de sus accionistas, socios o constituyentes con el fin de incentivar la libre competencia en la contratación estatal. </w:t>
      </w:r>
    </w:p>
    <w:p w14:paraId="5E62958C" w14:textId="77777777" w:rsidR="00254E6E" w:rsidRPr="00254E6E" w:rsidRDefault="00254E6E" w:rsidP="00254E6E">
      <w:pPr>
        <w:spacing w:after="120" w:line="276" w:lineRule="auto"/>
        <w:ind w:firstLine="709"/>
        <w:jc w:val="both"/>
        <w:rPr>
          <w:rFonts w:ascii="Arial" w:hAnsi="Arial" w:cs="Arial"/>
          <w:sz w:val="22"/>
        </w:rPr>
      </w:pPr>
      <w:r w:rsidRPr="00254E6E">
        <w:rPr>
          <w:rFonts w:ascii="Arial" w:hAnsi="Arial" w:cs="Arial"/>
          <w:sz w:val="22"/>
        </w:rPr>
        <w:t xml:space="preserve">iv) En consecuencia, la persona jurídica cuya constitución es menor a 3 años puede registrar la experiencia de sus socios en el RUP, la cual no podrá ser tenida en cuenta por la entidad estatal como experiencia de la sociedad una vez cumplidos los 3 años de constituida la persona jurídica a los que hace referencia la norma, pues no se cumple con el presupuesto normativo para acceder al beneficio que contempla el Decreto 1082. </w:t>
      </w:r>
    </w:p>
    <w:p w14:paraId="0710031D" w14:textId="77777777" w:rsidR="00254E6E" w:rsidRPr="00254E6E" w:rsidRDefault="00254E6E" w:rsidP="00254E6E">
      <w:pPr>
        <w:spacing w:after="120" w:line="276" w:lineRule="auto"/>
        <w:ind w:firstLine="709"/>
        <w:jc w:val="both"/>
        <w:rPr>
          <w:rFonts w:ascii="Arial" w:hAnsi="Arial" w:cs="Arial"/>
          <w:sz w:val="22"/>
        </w:rPr>
      </w:pPr>
      <w:r w:rsidRPr="00254E6E">
        <w:rPr>
          <w:rFonts w:ascii="Arial" w:hAnsi="Arial" w:cs="Arial"/>
          <w:sz w:val="22"/>
        </w:rPr>
        <w:t xml:space="preserve">v) Las Cámaras de Comercio hacen la verificación documental de la información presentada por los interesados al momento de inscribir, renovar o actualizar su información en el RUP. De esa forma, a diferencia de la renovación, la actualización del RUP puede llevarse a cabo en cualquier momento ―únicamente para la capacidad jurídica y experiencia― y debe ser verificada junto con sus soportes por la Cámara de Comercio correspondiente. </w:t>
      </w:r>
    </w:p>
    <w:p w14:paraId="0C542E8E" w14:textId="77777777" w:rsidR="00254E6E" w:rsidRPr="00254E6E" w:rsidRDefault="00254E6E" w:rsidP="00254E6E">
      <w:pPr>
        <w:spacing w:after="120" w:line="276" w:lineRule="auto"/>
        <w:ind w:firstLine="709"/>
        <w:jc w:val="both"/>
        <w:rPr>
          <w:rFonts w:ascii="Arial" w:hAnsi="Arial" w:cs="Arial"/>
          <w:sz w:val="22"/>
        </w:rPr>
      </w:pPr>
      <w:r w:rsidRPr="00254E6E">
        <w:rPr>
          <w:rFonts w:ascii="Arial" w:hAnsi="Arial" w:cs="Arial"/>
          <w:sz w:val="22"/>
        </w:rPr>
        <w:t>La posición anterior, en relación con la posibilidad de que las sociedades nuevas puedan seguir acreditando la experiencia de sus socios, accionistas o constituyentes, incluso después de cumplidos 3 años de constitución de la persona jurídica, fue superada y se ratificó por esta Subdirección la tesis que ya había sido desarrollada en el concepto del 7 de febrero de 2018</w:t>
      </w:r>
      <w:r w:rsidRPr="00254E6E">
        <w:rPr>
          <w:rFonts w:ascii="Arial" w:hAnsi="Arial" w:cs="Arial"/>
          <w:sz w:val="22"/>
          <w:vertAlign w:val="superscript"/>
        </w:rPr>
        <w:footnoteReference w:id="4"/>
      </w:r>
      <w:r w:rsidRPr="00254E6E">
        <w:rPr>
          <w:rFonts w:ascii="Arial" w:hAnsi="Arial" w:cs="Arial"/>
          <w:sz w:val="22"/>
        </w:rPr>
        <w:t xml:space="preserve">, recogida y unificada en el concepto con radicado No. 4201913000006797 del 19 de noviembre de 2019 en el que se sostuvo que las personas jurídicas que hubieran sido beneficiarias de la norma podían seguir acreditando la </w:t>
      </w:r>
      <w:r w:rsidRPr="00254E6E">
        <w:rPr>
          <w:rFonts w:ascii="Arial" w:hAnsi="Arial" w:cs="Arial"/>
          <w:sz w:val="22"/>
        </w:rPr>
        <w:lastRenderedPageBreak/>
        <w:t xml:space="preserve">experiencia de sus socios o accionistas, inclusive después de transcurridos 3 años desde la constitución de la sociedad, siempre que se renovara constantemente el RUP.  </w:t>
      </w:r>
    </w:p>
    <w:p w14:paraId="148AA7D9" w14:textId="77777777" w:rsidR="00254E6E" w:rsidRPr="00254E6E" w:rsidRDefault="00254E6E" w:rsidP="00254E6E">
      <w:pPr>
        <w:spacing w:after="120" w:line="276" w:lineRule="auto"/>
        <w:ind w:firstLine="709"/>
        <w:jc w:val="both"/>
        <w:rPr>
          <w:rFonts w:ascii="Arial" w:hAnsi="Arial" w:cs="Arial"/>
          <w:sz w:val="22"/>
        </w:rPr>
      </w:pPr>
      <w:r w:rsidRPr="00254E6E">
        <w:rPr>
          <w:rFonts w:ascii="Arial" w:hAnsi="Arial" w:cs="Arial"/>
          <w:sz w:val="22"/>
        </w:rPr>
        <w:t xml:space="preserve">Teniendo en cuenta lo anterior, aunque la persona jurídica tenga más de tres años de constituida y haya registrado inicialmente la experiencia de sus socios en el RUP –pues su constitución era inferior a tres años–, cuando este sea renovado, puede continuar utilizando la experiencia inscrita mientras no cesen los efectos del RUP. Por el contrario, si el RUP no es renovado y la persona jurídica supera los tres años de constituida, la experiencia que registró de sus socios no puede ser inscrita nuevamente, puesto que el RUP ha cesado sus efectos y la cámara de comercio tiene que hacer nuevamente la verificación documental de la información presentada al momento de inscribirse en el registro. </w:t>
      </w:r>
    </w:p>
    <w:p w14:paraId="2655F465" w14:textId="77777777" w:rsidR="00254E6E" w:rsidRPr="00254E6E" w:rsidRDefault="00254E6E" w:rsidP="00254E6E">
      <w:pPr>
        <w:spacing w:after="120" w:line="276" w:lineRule="auto"/>
        <w:ind w:firstLine="709"/>
        <w:jc w:val="both"/>
        <w:rPr>
          <w:rFonts w:ascii="Arial" w:hAnsi="Arial" w:cs="Arial"/>
          <w:sz w:val="22"/>
        </w:rPr>
      </w:pPr>
      <w:r w:rsidRPr="00254E6E">
        <w:rPr>
          <w:rFonts w:ascii="Arial" w:hAnsi="Arial" w:cs="Arial"/>
          <w:sz w:val="22"/>
        </w:rPr>
        <w:t>Se reitera que la finalidad del numeral 2.5 del artículo 2.2.1.1.1.5.2 del Decreto 1082 de 2015 es incentivar la libre competencia y la pluralidad de oferentes en la contratación estatal. Adicionalmente, el Decreto 1082 de 2015 establece que la persona inscrita en el RUP debe presentar la información para renovar su registro a más tardar el quinto día hábil del mes de abril de cada año, de lo contrario cesan sus efectos</w:t>
      </w:r>
      <w:r w:rsidRPr="00254E6E">
        <w:rPr>
          <w:rFonts w:ascii="Arial" w:hAnsi="Arial" w:cs="Arial"/>
          <w:sz w:val="22"/>
          <w:vertAlign w:val="superscript"/>
        </w:rPr>
        <w:footnoteReference w:id="5"/>
      </w:r>
      <w:r w:rsidRPr="00254E6E">
        <w:rPr>
          <w:rFonts w:ascii="Arial" w:hAnsi="Arial" w:cs="Arial"/>
          <w:sz w:val="22"/>
        </w:rPr>
        <w:t xml:space="preserve">. En la actualidad, las cámaras de comercio solo pueden eliminar la experiencia registrada en el RUP a solicitud del proponente. Por tanto, les corresponde a las personas jurídicas mantener su RUP actualizado y a las entidades estatales verificar este registro para efectos de evaluar la experiencia. </w:t>
      </w:r>
    </w:p>
    <w:p w14:paraId="31BCA7F9" w14:textId="73075579" w:rsidR="00254E6E" w:rsidRDefault="00254E6E" w:rsidP="00E63802">
      <w:pPr>
        <w:spacing w:line="276" w:lineRule="auto"/>
        <w:ind w:firstLine="709"/>
        <w:jc w:val="both"/>
        <w:rPr>
          <w:rFonts w:ascii="Arial" w:hAnsi="Arial" w:cs="Arial"/>
          <w:sz w:val="22"/>
        </w:rPr>
      </w:pPr>
      <w:r w:rsidRPr="00254E6E">
        <w:rPr>
          <w:rFonts w:ascii="Arial" w:hAnsi="Arial" w:cs="Arial"/>
          <w:sz w:val="22"/>
        </w:rPr>
        <w:t xml:space="preserve">En otras palabras, </w:t>
      </w:r>
      <w:bookmarkStart w:id="3" w:name="_Hlk67498604"/>
      <w:r w:rsidRPr="00254E6E">
        <w:rPr>
          <w:rFonts w:ascii="Arial" w:hAnsi="Arial" w:cs="Arial"/>
          <w:sz w:val="22"/>
        </w:rPr>
        <w:t xml:space="preserve">si la persona jurídica con menos de tres años de constituida registra la experiencia de sus socios en el RUP, y éste es renovado, puede continuar utilizando la experiencia inscrita mientras no cesen los efectos del RUP. Por el contrario, si no se renueva y la persona jurídica supera los tres años de constituida, la experiencia que registró de sus socios no puede ser inscrita nuevamente, puesto que el RUP ha cesado sus efectos y la cámara de comercio tiene que hacer nuevamente la verificación documental de la información presentada al momento de inscribirse en el registro.  </w:t>
      </w:r>
      <w:bookmarkEnd w:id="3"/>
      <w:r w:rsidRPr="00254E6E">
        <w:rPr>
          <w:rFonts w:ascii="Arial" w:hAnsi="Arial" w:cs="Arial"/>
          <w:sz w:val="22"/>
        </w:rPr>
        <w:t xml:space="preserve">Lo anterior, tiene fundamento en la Circular Única de la Superintendencia de Industria y Comercio, cuyo numeral 4.2, sobre el procedimiento para llevar el registro único de proponentes, dispone lo siguiente:  </w:t>
      </w:r>
    </w:p>
    <w:p w14:paraId="7B66E8EE" w14:textId="77777777" w:rsidR="00E63802" w:rsidRPr="00254E6E" w:rsidRDefault="00E63802" w:rsidP="00061A12">
      <w:pPr>
        <w:ind w:firstLine="709"/>
        <w:jc w:val="both"/>
        <w:rPr>
          <w:rFonts w:ascii="Arial" w:hAnsi="Arial" w:cs="Arial"/>
          <w:sz w:val="22"/>
        </w:rPr>
      </w:pPr>
    </w:p>
    <w:p w14:paraId="2D84D260" w14:textId="77777777" w:rsidR="00254E6E" w:rsidRPr="00061A12" w:rsidRDefault="00254E6E" w:rsidP="00061A12">
      <w:pPr>
        <w:ind w:left="709" w:right="709"/>
        <w:jc w:val="both"/>
        <w:rPr>
          <w:rFonts w:ascii="Arial" w:hAnsi="Arial" w:cs="Arial"/>
          <w:sz w:val="21"/>
          <w:szCs w:val="21"/>
        </w:rPr>
      </w:pPr>
      <w:r w:rsidRPr="00061A12">
        <w:rPr>
          <w:rFonts w:ascii="Arial" w:hAnsi="Arial" w:cs="Arial"/>
          <w:sz w:val="21"/>
          <w:szCs w:val="21"/>
        </w:rPr>
        <w:t xml:space="preserve">4.2.5. Vigencia de los documentos. Para efectos de renovación y actualización se considera que los documentos no pierden su vigencia salvo disposición legal en contrario. Por lo anterior, las Cámaras de Comercio no podrán abstenerse de realizar la inscripción argumentando el vencimiento de los documentos de soporte. </w:t>
      </w:r>
    </w:p>
    <w:p w14:paraId="583B3905" w14:textId="77777777" w:rsidR="00E63802" w:rsidRPr="00254E6E" w:rsidRDefault="00E63802" w:rsidP="00061A12">
      <w:pPr>
        <w:ind w:firstLine="709"/>
        <w:jc w:val="both"/>
        <w:rPr>
          <w:rFonts w:ascii="Arial" w:hAnsi="Arial" w:cs="Arial"/>
          <w:sz w:val="22"/>
        </w:rPr>
      </w:pPr>
    </w:p>
    <w:p w14:paraId="7792FFCF" w14:textId="77777777" w:rsidR="00254E6E" w:rsidRPr="00254E6E" w:rsidRDefault="00254E6E" w:rsidP="00254E6E">
      <w:pPr>
        <w:spacing w:after="120" w:line="276" w:lineRule="auto"/>
        <w:ind w:firstLine="709"/>
        <w:jc w:val="both"/>
        <w:rPr>
          <w:rFonts w:ascii="Arial" w:hAnsi="Arial" w:cs="Arial"/>
          <w:sz w:val="22"/>
        </w:rPr>
      </w:pPr>
      <w:r w:rsidRPr="00254E6E">
        <w:rPr>
          <w:rFonts w:ascii="Arial" w:hAnsi="Arial" w:cs="Arial"/>
          <w:sz w:val="22"/>
        </w:rPr>
        <w:t xml:space="preserve">Así las cosas, con el fin de incentivar la participación continúa y constante de los proponentes, las entidades estatales, en sus procesos de contratación, aceptarán como válida la experiencia de los socios, accionistas o constituyentes incluso después de cumplidos los tres años de constitución de la sociedad, pues esta interpretación permite incentivar la creación de empresa y generar una mayor participación de las empresas recién constituidas. En este sentido, si bien la norma no dispone qué sucede con la experiencia aportada por los socios, accionistas o constituyentes, después de los 3 años de constituida la persona jurídica, para esta Subdirección sigue siendo válida, por lo que la entidad la debe tener en cuenta. De esta forma se garantiza la pluralidad de oferentes en los procesos de contratación. </w:t>
      </w:r>
    </w:p>
    <w:p w14:paraId="5D6C8E2D" w14:textId="77777777" w:rsidR="00254E6E" w:rsidRPr="00254E6E" w:rsidRDefault="00254E6E" w:rsidP="00254E6E">
      <w:pPr>
        <w:spacing w:after="120" w:line="276" w:lineRule="auto"/>
        <w:ind w:firstLine="709"/>
        <w:jc w:val="both"/>
        <w:rPr>
          <w:rFonts w:ascii="Arial" w:hAnsi="Arial" w:cs="Arial"/>
          <w:sz w:val="22"/>
        </w:rPr>
      </w:pPr>
      <w:r w:rsidRPr="00254E6E">
        <w:rPr>
          <w:rFonts w:ascii="Arial" w:hAnsi="Arial" w:cs="Arial"/>
          <w:sz w:val="22"/>
        </w:rPr>
        <w:t xml:space="preserve">En línea con lo anterior, el numeral 2.5. del artículo 2.2.1.1.1.5.2 del Decreto 1082 de 2015 consagra una prerrogativa para las sociedades nuevas, que busca fomentar su competencia en el campo de la contratación estatal, sin establecer limitantes en relación con las entidades o procesos de contratación en los que las personas jurídicas con menos de 3 años de constitución pueden acreditar la experiencia transferida por sus socios en virtud de la referida prerrogativa. </w:t>
      </w:r>
    </w:p>
    <w:p w14:paraId="4E557799" w14:textId="3602FAE8" w:rsidR="003D1995" w:rsidRDefault="00254E6E" w:rsidP="00061A12">
      <w:pPr>
        <w:spacing w:line="276" w:lineRule="auto"/>
        <w:ind w:firstLine="709"/>
        <w:jc w:val="both"/>
        <w:rPr>
          <w:rFonts w:ascii="Arial" w:hAnsi="Arial" w:cs="Arial"/>
          <w:sz w:val="22"/>
        </w:rPr>
      </w:pPr>
      <w:r w:rsidRPr="00254E6E">
        <w:rPr>
          <w:rFonts w:ascii="Arial" w:hAnsi="Arial" w:cs="Arial"/>
          <w:sz w:val="22"/>
        </w:rPr>
        <w:t>Por tanto, en atención al principio general de interpretación según el cual donde el legislador no distingue no le es dado hacerlo al interprete, el hecho de que una sociedad con menos de 3 años de constitución haya hecho uso de la referida prerrogativa en determinado proceso de contratación o entidad, no excluye la posibilidad de que dicha sociedad siga haciendo uso del beneficio en otros procesos de contratación adelantados por otras entidades, incluso una vez vencidos los 3 años de constitución, siempre que no hayan cesado los efectos del RUP por el incumplimiento del deber de renovación.</w:t>
      </w:r>
    </w:p>
    <w:p w14:paraId="2B606748" w14:textId="77777777" w:rsidR="00E63802" w:rsidRPr="00254E6E" w:rsidRDefault="00E63802" w:rsidP="00061A12">
      <w:pPr>
        <w:ind w:firstLine="709"/>
        <w:jc w:val="both"/>
        <w:rPr>
          <w:rFonts w:ascii="Arial" w:hAnsi="Arial" w:cs="Arial"/>
          <w:sz w:val="22"/>
        </w:rPr>
      </w:pPr>
    </w:p>
    <w:p w14:paraId="3A0DE2C7" w14:textId="77777777" w:rsidR="007079F7" w:rsidRDefault="007079F7" w:rsidP="00E63802">
      <w:pPr>
        <w:spacing w:line="276" w:lineRule="auto"/>
        <w:jc w:val="both"/>
        <w:rPr>
          <w:rFonts w:ascii="Arial" w:hAnsi="Arial" w:cs="Arial"/>
          <w:b/>
          <w:sz w:val="22"/>
          <w:lang w:val="es-ES"/>
        </w:rPr>
      </w:pPr>
    </w:p>
    <w:p w14:paraId="2A06161F" w14:textId="41C1C828" w:rsidR="003D1995" w:rsidRDefault="003D1995" w:rsidP="00E63802">
      <w:pPr>
        <w:spacing w:line="276" w:lineRule="auto"/>
        <w:jc w:val="both"/>
        <w:rPr>
          <w:rFonts w:ascii="Arial" w:hAnsi="Arial" w:cs="Arial"/>
          <w:b/>
          <w:sz w:val="22"/>
          <w:lang w:val="es-ES"/>
        </w:rPr>
      </w:pPr>
      <w:r w:rsidRPr="00254E6E">
        <w:rPr>
          <w:rFonts w:ascii="Arial" w:hAnsi="Arial" w:cs="Arial"/>
          <w:b/>
          <w:sz w:val="22"/>
          <w:lang w:val="es-ES"/>
        </w:rPr>
        <w:t>3. Respuestas</w:t>
      </w:r>
    </w:p>
    <w:p w14:paraId="42287488" w14:textId="77777777" w:rsidR="007079F7" w:rsidRDefault="007079F7" w:rsidP="00E63802">
      <w:pPr>
        <w:spacing w:line="276" w:lineRule="auto"/>
        <w:jc w:val="both"/>
        <w:rPr>
          <w:rFonts w:ascii="Arial" w:hAnsi="Arial" w:cs="Arial"/>
          <w:b/>
          <w:sz w:val="22"/>
          <w:lang w:val="es-ES"/>
        </w:rPr>
      </w:pPr>
    </w:p>
    <w:p w14:paraId="5B90DD34" w14:textId="77777777" w:rsidR="00E63802" w:rsidRPr="00254E6E" w:rsidRDefault="00E63802" w:rsidP="00061A12">
      <w:pPr>
        <w:jc w:val="both"/>
        <w:rPr>
          <w:rFonts w:ascii="Arial" w:hAnsi="Arial" w:cs="Arial"/>
          <w:b/>
          <w:sz w:val="22"/>
          <w:lang w:val="es-ES"/>
        </w:rPr>
      </w:pPr>
    </w:p>
    <w:p w14:paraId="49CF1408" w14:textId="76E959E4" w:rsidR="003D1995" w:rsidRPr="00254E6E" w:rsidRDefault="00254E6E" w:rsidP="00254E6E">
      <w:pPr>
        <w:ind w:left="709" w:right="709"/>
        <w:jc w:val="both"/>
        <w:rPr>
          <w:rFonts w:ascii="Arial" w:hAnsi="Arial" w:cs="Arial"/>
          <w:sz w:val="21"/>
          <w:szCs w:val="21"/>
          <w:lang w:val="es-ES"/>
        </w:rPr>
      </w:pPr>
      <w:r w:rsidRPr="00254E6E">
        <w:rPr>
          <w:rFonts w:ascii="Arial" w:hAnsi="Arial" w:cs="Arial"/>
          <w:sz w:val="21"/>
          <w:szCs w:val="21"/>
          <w:lang w:val="es-ES"/>
        </w:rPr>
        <w:t>«[¿]</w:t>
      </w:r>
      <w:bookmarkStart w:id="4" w:name="_Hlk76048186"/>
      <w:r w:rsidRPr="00254E6E">
        <w:rPr>
          <w:rFonts w:ascii="Arial" w:hAnsi="Arial" w:cs="Arial"/>
          <w:sz w:val="21"/>
          <w:szCs w:val="21"/>
          <w:lang w:val="es-ES"/>
        </w:rPr>
        <w:t xml:space="preserve">La experiencia en el </w:t>
      </w:r>
      <w:proofErr w:type="spellStart"/>
      <w:r w:rsidRPr="00254E6E">
        <w:rPr>
          <w:rFonts w:ascii="Arial" w:hAnsi="Arial" w:cs="Arial"/>
          <w:sz w:val="21"/>
          <w:szCs w:val="21"/>
          <w:lang w:val="es-ES"/>
        </w:rPr>
        <w:t>rup</w:t>
      </w:r>
      <w:proofErr w:type="spellEnd"/>
      <w:r w:rsidRPr="00254E6E">
        <w:rPr>
          <w:rFonts w:ascii="Arial" w:hAnsi="Arial" w:cs="Arial"/>
          <w:sz w:val="21"/>
          <w:szCs w:val="21"/>
          <w:lang w:val="es-ES"/>
        </w:rPr>
        <w:t xml:space="preserve"> (sic) de los accionistas de una persona jurídica se puede continuar utilizando después de 3 años de constituida[?]»</w:t>
      </w:r>
    </w:p>
    <w:p w14:paraId="0AEC7EB4" w14:textId="13ED59FF" w:rsidR="003D1995" w:rsidRPr="00254E6E" w:rsidRDefault="003D1995" w:rsidP="00061A12">
      <w:pPr>
        <w:ind w:right="709"/>
        <w:jc w:val="both"/>
        <w:rPr>
          <w:rFonts w:ascii="Arial" w:hAnsi="Arial" w:cs="Arial"/>
          <w:sz w:val="22"/>
          <w:lang w:val="es-ES"/>
        </w:rPr>
      </w:pPr>
    </w:p>
    <w:p w14:paraId="1FCF1B31" w14:textId="756978DA" w:rsidR="00E63802" w:rsidRDefault="00E63802" w:rsidP="00061A12">
      <w:pPr>
        <w:spacing w:after="120" w:line="276" w:lineRule="auto"/>
        <w:jc w:val="both"/>
        <w:rPr>
          <w:rFonts w:ascii="Arial" w:eastAsia="Calibri" w:hAnsi="Arial" w:cs="Arial"/>
          <w:sz w:val="22"/>
          <w:lang w:val="es-ES"/>
        </w:rPr>
      </w:pPr>
      <w:bookmarkStart w:id="5" w:name="_Hlk76048236"/>
      <w:bookmarkEnd w:id="4"/>
      <w:r>
        <w:rPr>
          <w:rFonts w:ascii="Arial" w:hAnsi="Arial" w:cs="Arial"/>
          <w:sz w:val="22"/>
          <w:lang w:val="es-ES"/>
        </w:rPr>
        <w:t>Conforme a lo expuesto</w:t>
      </w:r>
      <w:r w:rsidR="006C1992" w:rsidRPr="00254E6E">
        <w:rPr>
          <w:rFonts w:ascii="Arial" w:hAnsi="Arial" w:cs="Arial"/>
          <w:sz w:val="22"/>
          <w:lang w:val="es-ES"/>
        </w:rPr>
        <w:t>,</w:t>
      </w:r>
      <w:r w:rsidR="00E139BC" w:rsidRPr="00254E6E">
        <w:rPr>
          <w:rFonts w:ascii="Arial" w:hAnsi="Arial" w:cs="Arial"/>
          <w:sz w:val="22"/>
          <w:lang w:val="es-ES"/>
        </w:rPr>
        <w:t xml:space="preserve"> </w:t>
      </w:r>
      <w:r w:rsidR="00E139BC" w:rsidRPr="00254E6E">
        <w:rPr>
          <w:rFonts w:ascii="Arial" w:eastAsia="Calibri" w:hAnsi="Arial" w:cs="Arial"/>
          <w:sz w:val="22"/>
          <w:lang w:val="es-ES"/>
        </w:rPr>
        <w:t>e</w:t>
      </w:r>
      <w:r w:rsidR="002B542A" w:rsidRPr="00254E6E">
        <w:rPr>
          <w:rFonts w:ascii="Arial" w:eastAsia="Calibri" w:hAnsi="Arial" w:cs="Arial"/>
          <w:sz w:val="22"/>
          <w:lang w:val="es-ES"/>
        </w:rPr>
        <w:t xml:space="preserve">n aplicación del beneficio establecido en el numeral 2.5 del artículo 2.2.1.1.1.5.2 del Decreto 1082 de 2015, las personas jurídicas que hayan inscrito la experiencia de sus socios o accionistas en el </w:t>
      </w:r>
      <w:r w:rsidR="00F614F9" w:rsidRPr="00254E6E">
        <w:rPr>
          <w:rFonts w:ascii="Arial" w:eastAsia="Calibri" w:hAnsi="Arial" w:cs="Arial"/>
          <w:sz w:val="22"/>
          <w:lang w:val="es-ES"/>
        </w:rPr>
        <w:t>RUP</w:t>
      </w:r>
      <w:r w:rsidR="002B542A" w:rsidRPr="00254E6E">
        <w:rPr>
          <w:rFonts w:ascii="Arial" w:eastAsia="Calibri" w:hAnsi="Arial" w:cs="Arial"/>
          <w:sz w:val="22"/>
          <w:lang w:val="es-ES"/>
        </w:rPr>
        <w:t xml:space="preserve"> </w:t>
      </w:r>
      <w:r w:rsidR="001337BA" w:rsidRPr="00254E6E">
        <w:rPr>
          <w:rFonts w:ascii="Arial" w:eastAsia="Calibri" w:hAnsi="Arial" w:cs="Arial"/>
          <w:sz w:val="22"/>
          <w:lang w:val="es-ES"/>
        </w:rPr>
        <w:t>pueden</w:t>
      </w:r>
      <w:r w:rsidR="002B542A" w:rsidRPr="00254E6E">
        <w:rPr>
          <w:rFonts w:ascii="Arial" w:eastAsia="Calibri" w:hAnsi="Arial" w:cs="Arial"/>
          <w:sz w:val="22"/>
          <w:lang w:val="es-ES"/>
        </w:rPr>
        <w:t xml:space="preserve"> seguir</w:t>
      </w:r>
      <w:r w:rsidR="001337BA" w:rsidRPr="00254E6E">
        <w:rPr>
          <w:rFonts w:ascii="Arial" w:eastAsia="Calibri" w:hAnsi="Arial" w:cs="Arial"/>
          <w:sz w:val="22"/>
          <w:lang w:val="es-ES"/>
        </w:rPr>
        <w:t>la</w:t>
      </w:r>
      <w:r w:rsidR="002B542A" w:rsidRPr="00254E6E">
        <w:rPr>
          <w:rFonts w:ascii="Arial" w:eastAsia="Calibri" w:hAnsi="Arial" w:cs="Arial"/>
          <w:sz w:val="22"/>
          <w:lang w:val="es-ES"/>
        </w:rPr>
        <w:t xml:space="preserve"> acreditando en los procedimientos de selección, aun después de cumplidos los 3 años de constitución, siempre que no hayan cesado los efectos del RUP por el incumplimiento del deber de renovación. </w:t>
      </w:r>
    </w:p>
    <w:p w14:paraId="3024A412" w14:textId="2C7528A6" w:rsidR="00E63802" w:rsidRPr="00254E6E" w:rsidRDefault="00E63802" w:rsidP="00061A12">
      <w:pPr>
        <w:spacing w:line="276" w:lineRule="auto"/>
        <w:ind w:firstLine="709"/>
        <w:jc w:val="both"/>
        <w:rPr>
          <w:rFonts w:ascii="Arial" w:hAnsi="Arial" w:cs="Arial"/>
          <w:sz w:val="22"/>
          <w:lang w:val="es-ES"/>
        </w:rPr>
      </w:pPr>
      <w:bookmarkStart w:id="6" w:name="_Hlk76048263"/>
      <w:bookmarkEnd w:id="5"/>
      <w:r>
        <w:rPr>
          <w:rFonts w:ascii="Arial" w:hAnsi="Arial" w:cs="Arial"/>
          <w:sz w:val="22"/>
          <w:lang w:val="es-ES"/>
        </w:rPr>
        <w:t>S</w:t>
      </w:r>
      <w:r w:rsidRPr="00E63802">
        <w:rPr>
          <w:rFonts w:ascii="Arial" w:hAnsi="Arial" w:cs="Arial"/>
          <w:sz w:val="22"/>
          <w:lang w:val="es-ES"/>
        </w:rPr>
        <w:t xml:space="preserve">i no se renueva y la persona jurídica supera los tres años de constituida, la experiencia que registró de sus socios no puede ser inscrita nuevamente, puesto que el RUP ha cesado sus efectos y la cámara de comercio tiene que hacer nuevamente la verificación documental de la información presentada al momento de inscribirse en el registro.  </w:t>
      </w:r>
    </w:p>
    <w:bookmarkEnd w:id="6"/>
    <w:p w14:paraId="77E684B4" w14:textId="77777777" w:rsidR="003D1995" w:rsidRPr="00254E6E" w:rsidRDefault="003D1995" w:rsidP="00061A12">
      <w:pPr>
        <w:ind w:firstLine="708"/>
        <w:jc w:val="both"/>
        <w:rPr>
          <w:rFonts w:ascii="Arial" w:hAnsi="Arial" w:cs="Arial"/>
          <w:sz w:val="22"/>
          <w:lang w:val="es-ES"/>
        </w:rPr>
      </w:pPr>
    </w:p>
    <w:p w14:paraId="617DEDF7" w14:textId="3495255E" w:rsidR="003D1995" w:rsidRPr="00254E6E" w:rsidRDefault="003D1995" w:rsidP="002B542A">
      <w:pPr>
        <w:spacing w:line="276" w:lineRule="auto"/>
        <w:jc w:val="both"/>
        <w:rPr>
          <w:rFonts w:ascii="Arial" w:hAnsi="Arial" w:cs="Arial"/>
          <w:sz w:val="22"/>
          <w:lang w:val="es-ES"/>
        </w:rPr>
      </w:pPr>
      <w:r w:rsidRPr="00254E6E">
        <w:rPr>
          <w:rFonts w:ascii="Arial" w:hAnsi="Arial" w:cs="Arial"/>
          <w:sz w:val="22"/>
          <w:lang w:val="es-ES"/>
        </w:rPr>
        <w:lastRenderedPageBreak/>
        <w:t>Este concepto tiene el alcance previsto en el artículo 28 del Código de Procedimiento Administrativo y de lo Contencioso Administrativo.</w:t>
      </w:r>
    </w:p>
    <w:p w14:paraId="1732961B" w14:textId="1FB2A201" w:rsidR="00E63802" w:rsidRDefault="003D1995" w:rsidP="00E63802">
      <w:pPr>
        <w:spacing w:before="120" w:after="120" w:line="276" w:lineRule="auto"/>
        <w:jc w:val="both"/>
        <w:rPr>
          <w:rFonts w:ascii="Arial" w:eastAsia="Times New Roman" w:hAnsi="Arial" w:cs="Arial"/>
          <w:sz w:val="22"/>
          <w:lang w:val="es-ES" w:eastAsia="es-CO"/>
        </w:rPr>
      </w:pPr>
      <w:r w:rsidRPr="00254E6E">
        <w:rPr>
          <w:rFonts w:ascii="Arial" w:hAnsi="Arial" w:cs="Arial"/>
          <w:noProof/>
          <w:sz w:val="22"/>
          <w:lang w:val="es-ES"/>
        </w:rPr>
        <mc:AlternateContent>
          <mc:Choice Requires="wps">
            <w:drawing>
              <wp:anchor distT="0" distB="0" distL="114300" distR="114300" simplePos="0" relativeHeight="251659264" behindDoc="0" locked="0" layoutInCell="1" allowOverlap="1" wp14:anchorId="7C08AF20" wp14:editId="22FDB916">
                <wp:simplePos x="0" y="0"/>
                <wp:positionH relativeFrom="page">
                  <wp:posOffset>1514475</wp:posOffset>
                </wp:positionH>
                <wp:positionV relativeFrom="paragraph">
                  <wp:posOffset>10160</wp:posOffset>
                </wp:positionV>
                <wp:extent cx="4686300" cy="0"/>
                <wp:effectExtent l="0" t="0" r="0" b="0"/>
                <wp:wrapNone/>
                <wp:docPr id="1" name="Conector recto 1"/>
                <wp:cNvGraphicFramePr/>
                <a:graphic xmlns:a="http://schemas.openxmlformats.org/drawingml/2006/main">
                  <a:graphicData uri="http://schemas.microsoft.com/office/word/2010/wordprocessingShape">
                    <wps:wsp>
                      <wps:cNvCnPr/>
                      <wps:spPr>
                        <a:xfrm>
                          <a:off x="0" y="0"/>
                          <a:ext cx="4686300" cy="0"/>
                        </a:xfrm>
                        <a:prstGeom prst="line">
                          <a:avLst/>
                        </a:prstGeom>
                        <a:noFill/>
                        <a:ln w="9525" cap="flat" cmpd="sng" algn="ctr">
                          <a:solidFill>
                            <a:srgbClr val="DBDBDB"/>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30049E75" id="Conector recto 1"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 from="119.25pt,.8pt" to="488.2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" strokecolor="#dbdbdb">
                <w10:wrap anchorx="page"/>
              </v:line>
            </w:pict>
          </mc:Fallback>
        </mc:AlternateContent>
      </w:r>
    </w:p>
    <w:p w14:paraId="3DE562AC" w14:textId="0C2E0518" w:rsidR="003D1995" w:rsidRPr="00254E6E" w:rsidRDefault="003D1995" w:rsidP="00061A12">
      <w:pPr>
        <w:spacing w:before="120" w:after="120" w:line="276" w:lineRule="auto"/>
        <w:jc w:val="both"/>
        <w:rPr>
          <w:rFonts w:ascii="Arial" w:eastAsia="Times New Roman" w:hAnsi="Arial" w:cs="Arial"/>
          <w:sz w:val="22"/>
          <w:lang w:val="es-ES" w:eastAsia="es-CO"/>
        </w:rPr>
      </w:pPr>
      <w:r w:rsidRPr="00254E6E">
        <w:rPr>
          <w:rFonts w:ascii="Arial" w:eastAsia="Times New Roman" w:hAnsi="Arial" w:cs="Arial"/>
          <w:sz w:val="22"/>
          <w:lang w:val="es-ES" w:eastAsia="es-CO"/>
        </w:rPr>
        <w:t>Atentamente,</w:t>
      </w:r>
    </w:p>
    <w:p w14:paraId="24073096" w14:textId="0A1CA1B7" w:rsidR="003D1995" w:rsidRPr="00254E6E" w:rsidRDefault="007079F7" w:rsidP="003D1995">
      <w:pPr>
        <w:spacing w:line="276" w:lineRule="auto"/>
        <w:jc w:val="center"/>
        <w:rPr>
          <w:lang w:val="es-ES"/>
        </w:rPr>
      </w:pPr>
      <w:r>
        <w:rPr>
          <w:noProof/>
        </w:rPr>
        <w:drawing>
          <wp:inline distT="0" distB="0" distL="0" distR="0" wp14:anchorId="0774A3A1" wp14:editId="20B6092B">
            <wp:extent cx="2514600" cy="1114425"/>
            <wp:effectExtent l="0" t="0" r="0" b="9525"/>
            <wp:docPr id="4" name="Imagen 4"/>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2"/>
                    <a:stretch>
                      <a:fillRect/>
                    </a:stretch>
                  </pic:blipFill>
                  <pic:spPr>
                    <a:xfrm>
                      <a:off x="0" y="0"/>
                      <a:ext cx="2514600" cy="1114425"/>
                    </a:xfrm>
                    <a:prstGeom prst="rect">
                      <a:avLst/>
                    </a:prstGeom>
                  </pic:spPr>
                </pic:pic>
              </a:graphicData>
            </a:graphic>
          </wp:inline>
        </w:drawing>
      </w:r>
    </w:p>
    <w:p w14:paraId="42DFA4A3" w14:textId="2F25D217" w:rsidR="003D1995" w:rsidRPr="00254E6E" w:rsidRDefault="003D1995" w:rsidP="003D1995">
      <w:pPr>
        <w:spacing w:line="276" w:lineRule="auto"/>
        <w:jc w:val="center"/>
        <w:rPr>
          <w:lang w:val="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2"/>
        <w:gridCol w:w="4413"/>
      </w:tblGrid>
      <w:tr w:rsidR="003D1995" w:rsidRPr="00E63802" w14:paraId="7A5DEE14" w14:textId="77777777" w:rsidTr="007D69B0">
        <w:trPr>
          <w:trHeight w:val="315"/>
        </w:trPr>
        <w:tc>
          <w:tcPr>
            <w:tcW w:w="812" w:type="dxa"/>
            <w:vAlign w:val="center"/>
            <w:hideMark/>
          </w:tcPr>
          <w:p w14:paraId="18BBD942" w14:textId="77777777" w:rsidR="003D1995" w:rsidRPr="00061A12" w:rsidRDefault="003D1995" w:rsidP="007D69B0">
            <w:pPr>
              <w:spacing w:line="276" w:lineRule="auto"/>
              <w:rPr>
                <w:rFonts w:ascii="Arial" w:hAnsi="Arial" w:cs="Arial"/>
                <w:sz w:val="14"/>
                <w:szCs w:val="14"/>
                <w:lang w:val="es-ES" w:eastAsia="es-ES"/>
              </w:rPr>
            </w:pPr>
            <w:r w:rsidRPr="00061A12">
              <w:rPr>
                <w:rFonts w:ascii="Arial" w:hAnsi="Arial" w:cs="Arial"/>
                <w:sz w:val="14"/>
                <w:szCs w:val="14"/>
                <w:lang w:val="es-ES" w:eastAsia="es-ES"/>
              </w:rPr>
              <w:t>Elaboró:</w:t>
            </w:r>
          </w:p>
        </w:tc>
        <w:tc>
          <w:tcPr>
            <w:tcW w:w="4413" w:type="dxa"/>
            <w:tcBorders>
              <w:top w:val="nil"/>
              <w:left w:val="nil"/>
              <w:bottom w:val="dotted" w:sz="4" w:space="0" w:color="7F7F7F" w:themeColor="text1" w:themeTint="80"/>
              <w:right w:val="nil"/>
            </w:tcBorders>
            <w:vAlign w:val="center"/>
            <w:hideMark/>
          </w:tcPr>
          <w:p w14:paraId="798A7CDC" w14:textId="025DE3AC" w:rsidR="003D1995" w:rsidRPr="00061A12" w:rsidRDefault="00F614F9" w:rsidP="007D69B0">
            <w:pPr>
              <w:spacing w:line="276" w:lineRule="auto"/>
              <w:rPr>
                <w:rFonts w:ascii="Arial" w:hAnsi="Arial" w:cs="Arial"/>
                <w:sz w:val="14"/>
                <w:szCs w:val="14"/>
                <w:lang w:val="es-ES" w:eastAsia="es-ES"/>
              </w:rPr>
            </w:pPr>
            <w:r w:rsidRPr="00061A12">
              <w:rPr>
                <w:rFonts w:ascii="Arial" w:hAnsi="Arial" w:cs="Arial"/>
                <w:sz w:val="14"/>
                <w:szCs w:val="14"/>
                <w:lang w:val="es-ES" w:eastAsia="es-ES"/>
              </w:rPr>
              <w:t>David Torres Rojas</w:t>
            </w:r>
          </w:p>
          <w:p w14:paraId="50E4F37D" w14:textId="77777777" w:rsidR="003D1995" w:rsidRPr="00061A12" w:rsidRDefault="003D1995" w:rsidP="007D69B0">
            <w:pPr>
              <w:spacing w:line="276" w:lineRule="auto"/>
              <w:rPr>
                <w:rFonts w:ascii="Arial" w:hAnsi="Arial" w:cs="Arial"/>
                <w:sz w:val="14"/>
                <w:szCs w:val="14"/>
                <w:lang w:val="es-ES" w:eastAsia="es-ES"/>
              </w:rPr>
            </w:pPr>
            <w:r w:rsidRPr="00061A12">
              <w:rPr>
                <w:rFonts w:ascii="Arial" w:hAnsi="Arial" w:cs="Arial"/>
                <w:sz w:val="14"/>
                <w:szCs w:val="14"/>
                <w:lang w:val="es-ES" w:eastAsia="es-ES"/>
              </w:rPr>
              <w:t>Contratista de la Subdirección de Gestión Contractual</w:t>
            </w:r>
          </w:p>
        </w:tc>
      </w:tr>
      <w:tr w:rsidR="003D1995" w:rsidRPr="00E63802" w14:paraId="1C1B243C" w14:textId="77777777" w:rsidTr="007D69B0">
        <w:trPr>
          <w:trHeight w:val="330"/>
        </w:trPr>
        <w:tc>
          <w:tcPr>
            <w:tcW w:w="812" w:type="dxa"/>
            <w:vAlign w:val="center"/>
            <w:hideMark/>
          </w:tcPr>
          <w:p w14:paraId="00837625" w14:textId="77777777" w:rsidR="003D1995" w:rsidRPr="00061A12" w:rsidRDefault="003D1995" w:rsidP="007D69B0">
            <w:pPr>
              <w:spacing w:line="276" w:lineRule="auto"/>
              <w:rPr>
                <w:rFonts w:ascii="Arial" w:hAnsi="Arial" w:cs="Arial"/>
                <w:sz w:val="14"/>
                <w:szCs w:val="14"/>
                <w:lang w:val="es-ES" w:eastAsia="es-ES"/>
              </w:rPr>
            </w:pPr>
            <w:r w:rsidRPr="00061A12">
              <w:rPr>
                <w:rFonts w:ascii="Arial" w:hAnsi="Arial" w:cs="Arial"/>
                <w:sz w:val="14"/>
                <w:szCs w:val="14"/>
                <w:lang w:val="es-ES" w:eastAsia="es-ES"/>
              </w:rPr>
              <w:t>Revisó:</w:t>
            </w:r>
          </w:p>
        </w:tc>
        <w:tc>
          <w:tcPr>
            <w:tcW w:w="4413" w:type="dxa"/>
            <w:tcBorders>
              <w:top w:val="dotted" w:sz="4" w:space="0" w:color="7F7F7F" w:themeColor="text1" w:themeTint="80"/>
              <w:left w:val="nil"/>
              <w:bottom w:val="dotted" w:sz="4" w:space="0" w:color="7F7F7F" w:themeColor="text1" w:themeTint="80"/>
              <w:right w:val="nil"/>
            </w:tcBorders>
            <w:vAlign w:val="center"/>
            <w:hideMark/>
          </w:tcPr>
          <w:p w14:paraId="3455F444" w14:textId="77777777" w:rsidR="00F614F9" w:rsidRPr="00061A12" w:rsidRDefault="00F614F9" w:rsidP="00F614F9">
            <w:pPr>
              <w:spacing w:line="276" w:lineRule="auto"/>
              <w:rPr>
                <w:rFonts w:ascii="Arial" w:hAnsi="Arial" w:cs="Arial"/>
                <w:sz w:val="14"/>
                <w:szCs w:val="14"/>
                <w:lang w:val="es-ES" w:eastAsia="es-ES"/>
              </w:rPr>
            </w:pPr>
            <w:r w:rsidRPr="00061A12">
              <w:rPr>
                <w:rFonts w:ascii="Arial" w:hAnsi="Arial" w:cs="Arial"/>
                <w:sz w:val="14"/>
                <w:szCs w:val="14"/>
                <w:lang w:val="es-ES" w:eastAsia="es-ES"/>
              </w:rPr>
              <w:t>Alejandro Sarmiento Cantillo</w:t>
            </w:r>
          </w:p>
          <w:p w14:paraId="27C7191D" w14:textId="6088ACBE" w:rsidR="003D1995" w:rsidRPr="00061A12" w:rsidRDefault="00F614F9" w:rsidP="00F614F9">
            <w:pPr>
              <w:spacing w:line="276" w:lineRule="auto"/>
              <w:rPr>
                <w:rFonts w:ascii="Arial" w:hAnsi="Arial" w:cs="Arial"/>
                <w:sz w:val="14"/>
                <w:szCs w:val="14"/>
                <w:lang w:val="es-ES" w:eastAsia="es-ES"/>
              </w:rPr>
            </w:pPr>
            <w:r w:rsidRPr="00061A12">
              <w:rPr>
                <w:rFonts w:ascii="Arial" w:hAnsi="Arial" w:cs="Arial"/>
                <w:sz w:val="14"/>
                <w:szCs w:val="14"/>
                <w:lang w:val="es-ES" w:eastAsia="es-ES"/>
              </w:rPr>
              <w:t>Gestor T1-11 de la Subdirección de Gestión Contractual</w:t>
            </w:r>
          </w:p>
        </w:tc>
      </w:tr>
      <w:tr w:rsidR="003D1995" w:rsidRPr="00E63802" w14:paraId="03A6A405" w14:textId="77777777" w:rsidTr="007D69B0">
        <w:trPr>
          <w:trHeight w:val="300"/>
        </w:trPr>
        <w:tc>
          <w:tcPr>
            <w:tcW w:w="812" w:type="dxa"/>
            <w:vAlign w:val="center"/>
            <w:hideMark/>
          </w:tcPr>
          <w:p w14:paraId="5849DC33" w14:textId="77777777" w:rsidR="003D1995" w:rsidRPr="00061A12" w:rsidRDefault="003D1995" w:rsidP="007D69B0">
            <w:pPr>
              <w:spacing w:line="276" w:lineRule="auto"/>
              <w:rPr>
                <w:rFonts w:ascii="Arial" w:hAnsi="Arial" w:cs="Arial"/>
                <w:sz w:val="14"/>
                <w:szCs w:val="14"/>
                <w:lang w:val="es-ES" w:eastAsia="es-ES"/>
              </w:rPr>
            </w:pPr>
            <w:r w:rsidRPr="00061A12">
              <w:rPr>
                <w:rFonts w:ascii="Arial" w:hAnsi="Arial" w:cs="Arial"/>
                <w:sz w:val="14"/>
                <w:szCs w:val="14"/>
                <w:lang w:val="es-ES" w:eastAsia="es-ES"/>
              </w:rPr>
              <w:t>Aprobó:</w:t>
            </w:r>
          </w:p>
        </w:tc>
        <w:tc>
          <w:tcPr>
            <w:tcW w:w="4413" w:type="dxa"/>
            <w:tcBorders>
              <w:top w:val="dotted" w:sz="4" w:space="0" w:color="7F7F7F" w:themeColor="text1" w:themeTint="80"/>
              <w:left w:val="nil"/>
              <w:bottom w:val="dotted" w:sz="4" w:space="0" w:color="7F7F7F" w:themeColor="text1" w:themeTint="80"/>
              <w:right w:val="nil"/>
            </w:tcBorders>
            <w:vAlign w:val="center"/>
            <w:hideMark/>
          </w:tcPr>
          <w:p w14:paraId="24917888" w14:textId="77777777" w:rsidR="003D1995" w:rsidRPr="00061A12" w:rsidRDefault="003D1995" w:rsidP="007D69B0">
            <w:pPr>
              <w:spacing w:line="276" w:lineRule="auto"/>
              <w:rPr>
                <w:rFonts w:ascii="Arial" w:hAnsi="Arial" w:cs="Arial"/>
                <w:sz w:val="14"/>
                <w:szCs w:val="14"/>
                <w:lang w:val="es-ES" w:eastAsia="es-ES"/>
              </w:rPr>
            </w:pPr>
            <w:r w:rsidRPr="00061A12">
              <w:rPr>
                <w:rFonts w:ascii="Arial" w:hAnsi="Arial" w:cs="Arial"/>
                <w:sz w:val="14"/>
                <w:szCs w:val="14"/>
                <w:lang w:val="es-ES" w:eastAsia="es-ES"/>
              </w:rPr>
              <w:t>Jorge Augusto Tirado Navarro</w:t>
            </w:r>
          </w:p>
          <w:p w14:paraId="7BC9B160" w14:textId="16C059A8" w:rsidR="003D1995" w:rsidRPr="00061A12" w:rsidRDefault="003D1995" w:rsidP="007D69B0">
            <w:pPr>
              <w:spacing w:line="276" w:lineRule="auto"/>
              <w:rPr>
                <w:rFonts w:ascii="Arial" w:hAnsi="Arial" w:cs="Arial"/>
                <w:sz w:val="14"/>
                <w:szCs w:val="14"/>
                <w:lang w:val="es-ES" w:eastAsia="es-ES"/>
              </w:rPr>
            </w:pPr>
            <w:r w:rsidRPr="00061A12">
              <w:rPr>
                <w:rFonts w:ascii="Arial" w:hAnsi="Arial" w:cs="Arial"/>
                <w:sz w:val="14"/>
                <w:szCs w:val="14"/>
                <w:lang w:val="es-ES" w:eastAsia="es-ES"/>
              </w:rPr>
              <w:t>Subdirector de Gestión Contractual</w:t>
            </w:r>
            <w:r w:rsidR="00372FE0" w:rsidRPr="00061A12">
              <w:rPr>
                <w:rFonts w:ascii="Arial" w:hAnsi="Arial" w:cs="Arial"/>
                <w:sz w:val="14"/>
                <w:szCs w:val="14"/>
                <w:lang w:val="es-ES" w:eastAsia="es-ES"/>
              </w:rPr>
              <w:t xml:space="preserve"> ANCP - CCE</w:t>
            </w:r>
          </w:p>
        </w:tc>
      </w:tr>
    </w:tbl>
    <w:p w14:paraId="144949E3" w14:textId="77777777" w:rsidR="00BD0429" w:rsidRPr="00254E6E" w:rsidRDefault="00BD0429">
      <w:pPr>
        <w:rPr>
          <w:lang w:val="es-ES"/>
        </w:rPr>
      </w:pPr>
    </w:p>
    <w:sectPr w:rsidR="00BD0429" w:rsidRPr="00254E6E">
      <w:headerReference w:type="default" r:id="rId13"/>
      <w:footerReference w:type="default" r:id="rId14"/>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CABC1" w14:textId="77777777" w:rsidR="00286E36" w:rsidRDefault="00286E36" w:rsidP="003D1995">
      <w:r>
        <w:separator/>
      </w:r>
    </w:p>
  </w:endnote>
  <w:endnote w:type="continuationSeparator" w:id="0">
    <w:p w14:paraId="7C27BD09" w14:textId="77777777" w:rsidR="00286E36" w:rsidRDefault="00286E36" w:rsidP="003D1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CC185" w14:textId="0737A669" w:rsidR="00DE311F" w:rsidRPr="008217B7" w:rsidRDefault="006C1992" w:rsidP="00876845">
    <w:pPr>
      <w:pStyle w:val="Piedepgina"/>
      <w:jc w:val="right"/>
      <w:rPr>
        <w:rFonts w:ascii="Arial" w:hAnsi="Arial" w:cs="Arial"/>
        <w:color w:val="7F7F7F" w:themeColor="text1" w:themeTint="80"/>
        <w:sz w:val="16"/>
        <w:szCs w:val="16"/>
      </w:rPr>
    </w:pPr>
    <w:r w:rsidRPr="008217B7">
      <w:rPr>
        <w:rFonts w:ascii="Arial" w:hAnsi="Arial" w:cs="Arial"/>
        <w:bCs/>
        <w:color w:val="7F7F7F" w:themeColor="text1" w:themeTint="80"/>
        <w:sz w:val="16"/>
        <w:szCs w:val="16"/>
      </w:rPr>
      <w:t xml:space="preserve">Página </w:t>
    </w:r>
    <w:r w:rsidRPr="00084B97">
      <w:rPr>
        <w:rFonts w:ascii="Arial" w:hAnsi="Arial" w:cs="Arial"/>
        <w:b/>
        <w:bCs/>
        <w:color w:val="7F7F7F" w:themeColor="text1" w:themeTint="80"/>
        <w:sz w:val="16"/>
        <w:szCs w:val="16"/>
      </w:rPr>
      <w:fldChar w:fldCharType="begin"/>
    </w:r>
    <w:r w:rsidRPr="00084B97">
      <w:rPr>
        <w:rFonts w:ascii="Arial" w:hAnsi="Arial" w:cs="Arial"/>
        <w:b/>
        <w:bCs/>
        <w:color w:val="7F7F7F" w:themeColor="text1" w:themeTint="80"/>
        <w:sz w:val="16"/>
        <w:szCs w:val="16"/>
      </w:rPr>
      <w:instrText>PAGE  \* Arabic  \* MERGEFORMAT</w:instrText>
    </w:r>
    <w:r w:rsidRPr="00084B97">
      <w:rPr>
        <w:rFonts w:ascii="Arial" w:hAnsi="Arial" w:cs="Arial"/>
        <w:b/>
        <w:bCs/>
        <w:color w:val="7F7F7F" w:themeColor="text1" w:themeTint="80"/>
        <w:sz w:val="16"/>
        <w:szCs w:val="16"/>
      </w:rPr>
      <w:fldChar w:fldCharType="separate"/>
    </w:r>
    <w:r>
      <w:rPr>
        <w:rFonts w:ascii="Arial" w:hAnsi="Arial" w:cs="Arial"/>
        <w:b/>
        <w:bCs/>
        <w:color w:val="7F7F7F" w:themeColor="text1" w:themeTint="80"/>
        <w:sz w:val="16"/>
        <w:szCs w:val="16"/>
      </w:rPr>
      <w:t>12</w:t>
    </w:r>
    <w:r w:rsidRPr="00084B97">
      <w:rPr>
        <w:rFonts w:ascii="Arial" w:hAnsi="Arial" w:cs="Arial"/>
        <w:b/>
        <w:bCs/>
        <w:color w:val="7F7F7F" w:themeColor="text1" w:themeTint="80"/>
        <w:sz w:val="16"/>
        <w:szCs w:val="16"/>
      </w:rPr>
      <w:fldChar w:fldCharType="end"/>
    </w:r>
    <w:r w:rsidRPr="008217B7">
      <w:rPr>
        <w:rFonts w:ascii="Arial" w:hAnsi="Arial" w:cs="Arial"/>
        <w:color w:val="7F7F7F" w:themeColor="text1" w:themeTint="80"/>
        <w:sz w:val="16"/>
        <w:szCs w:val="16"/>
      </w:rPr>
      <w:t xml:space="preserve"> de </w:t>
    </w:r>
    <w:r w:rsidRPr="00084B97">
      <w:rPr>
        <w:rFonts w:ascii="Arial" w:hAnsi="Arial" w:cs="Arial"/>
        <w:b/>
        <w:bCs/>
        <w:color w:val="7F7F7F" w:themeColor="text1" w:themeTint="80"/>
        <w:sz w:val="16"/>
        <w:szCs w:val="16"/>
      </w:rPr>
      <w:fldChar w:fldCharType="begin"/>
    </w:r>
    <w:r w:rsidRPr="00084B97">
      <w:rPr>
        <w:rFonts w:ascii="Arial" w:hAnsi="Arial" w:cs="Arial"/>
        <w:b/>
        <w:bCs/>
        <w:color w:val="7F7F7F" w:themeColor="text1" w:themeTint="80"/>
        <w:sz w:val="16"/>
        <w:szCs w:val="16"/>
      </w:rPr>
      <w:instrText>NUMPAGES  \* Arabic  \* MERGEFORMAT</w:instrText>
    </w:r>
    <w:r w:rsidRPr="00084B97">
      <w:rPr>
        <w:rFonts w:ascii="Arial" w:hAnsi="Arial" w:cs="Arial"/>
        <w:b/>
        <w:bCs/>
        <w:color w:val="7F7F7F" w:themeColor="text1" w:themeTint="80"/>
        <w:sz w:val="16"/>
        <w:szCs w:val="16"/>
      </w:rPr>
      <w:fldChar w:fldCharType="separate"/>
    </w:r>
    <w:r>
      <w:rPr>
        <w:rFonts w:ascii="Arial" w:hAnsi="Arial" w:cs="Arial"/>
        <w:b/>
        <w:bCs/>
        <w:color w:val="7F7F7F" w:themeColor="text1" w:themeTint="80"/>
        <w:sz w:val="16"/>
        <w:szCs w:val="16"/>
      </w:rPr>
      <w:t>12</w:t>
    </w:r>
    <w:r w:rsidRPr="00084B97">
      <w:rPr>
        <w:rFonts w:ascii="Arial" w:hAnsi="Arial" w:cs="Arial"/>
        <w:b/>
        <w:bCs/>
        <w:color w:val="7F7F7F" w:themeColor="text1" w:themeTint="80"/>
        <w:sz w:val="16"/>
        <w:szCs w:val="16"/>
      </w:rPr>
      <w:fldChar w:fldCharType="end"/>
    </w:r>
  </w:p>
  <w:p w14:paraId="3B68C982" w14:textId="25C44737" w:rsidR="00DE311F" w:rsidRDefault="006C1992" w:rsidP="00876845">
    <w:pPr>
      <w:pStyle w:val="Piedepgina"/>
      <w:jc w:val="center"/>
      <w:rPr>
        <w:lang w:val="es-ES"/>
      </w:rPr>
    </w:pPr>
    <w:r>
      <w:rPr>
        <w:noProof/>
      </w:rPr>
      <w:drawing>
        <wp:inline distT="0" distB="0" distL="0" distR="0" wp14:anchorId="40540D32" wp14:editId="738B0AB5">
          <wp:extent cx="3700130" cy="519139"/>
          <wp:effectExtent l="0" t="0" r="0" b="0"/>
          <wp:docPr id="879534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pic:nvPicPr>
                <pic:blipFill>
                  <a:blip r:embed="rId1">
                    <a:extLst>
                      <a:ext uri="{28A0092B-C50C-407E-A947-70E740481C1C}">
                        <a14:useLocalDpi xmlns:a14="http://schemas.microsoft.com/office/drawing/2010/main" val="0"/>
                      </a:ext>
                    </a:extLst>
                  </a:blip>
                  <a:stretch>
                    <a:fillRect/>
                  </a:stretch>
                </pic:blipFill>
                <pic:spPr>
                  <a:xfrm>
                    <a:off x="0" y="0"/>
                    <a:ext cx="3700130" cy="519139"/>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89A45" w14:textId="77777777" w:rsidR="00286E36" w:rsidRDefault="00286E36" w:rsidP="003D1995">
      <w:r>
        <w:separator/>
      </w:r>
    </w:p>
  </w:footnote>
  <w:footnote w:type="continuationSeparator" w:id="0">
    <w:p w14:paraId="1ED5EEEC" w14:textId="77777777" w:rsidR="00286E36" w:rsidRDefault="00286E36" w:rsidP="003D1995">
      <w:r>
        <w:continuationSeparator/>
      </w:r>
    </w:p>
  </w:footnote>
  <w:footnote w:id="1">
    <w:p w14:paraId="275ADF08" w14:textId="77777777" w:rsidR="00E34A1C" w:rsidRPr="00E63802" w:rsidRDefault="00E34A1C" w:rsidP="00E63802">
      <w:pPr>
        <w:pStyle w:val="Textonotapie"/>
        <w:ind w:firstLine="708"/>
        <w:jc w:val="both"/>
        <w:rPr>
          <w:rFonts w:ascii="Arial" w:hAnsi="Arial" w:cs="Arial"/>
          <w:sz w:val="19"/>
          <w:szCs w:val="19"/>
          <w:lang w:val="es-CO"/>
        </w:rPr>
      </w:pPr>
      <w:r w:rsidRPr="00061A12">
        <w:rPr>
          <w:rStyle w:val="Refdenotaalpie"/>
          <w:rFonts w:ascii="Arial" w:hAnsi="Arial" w:cs="Arial"/>
          <w:sz w:val="19"/>
          <w:szCs w:val="19"/>
        </w:rPr>
        <w:footnoteRef/>
      </w:r>
      <w:r w:rsidRPr="00E63802">
        <w:rPr>
          <w:rFonts w:ascii="Arial" w:hAnsi="Arial" w:cs="Arial"/>
          <w:sz w:val="19"/>
          <w:szCs w:val="19"/>
        </w:rPr>
        <w:t xml:space="preserve"> De igual forma la Agencia de Nacional de Contratación Pública -Colombia Compra Eficiente- trato el tema objeto de estudio en conceptos del año 2019, identificados con los radicados </w:t>
      </w:r>
      <w:r w:rsidRPr="00E63802">
        <w:rPr>
          <w:rFonts w:ascii="Arial" w:eastAsia="Calibri" w:hAnsi="Arial" w:cs="Arial"/>
          <w:sz w:val="19"/>
          <w:szCs w:val="19"/>
        </w:rPr>
        <w:t xml:space="preserve">No. 4201912000003636 del 20 de agosto de 2019, reiterado y desarrollado en los conceptos identificados con radicado No. 4201912000004603 del 22 de agosto de 2019, 4201912000004380 del 27 de agosto de 2019, 4201912000004704 del 27 de agosto de 2019, 4201912000004743 del 28 de agosto de 2019, 4201913000005158 del 5 de septiembre de 2019, </w:t>
      </w:r>
      <w:r w:rsidRPr="00E63802">
        <w:rPr>
          <w:rFonts w:ascii="Arial" w:hAnsi="Arial" w:cs="Arial"/>
          <w:sz w:val="19"/>
          <w:szCs w:val="19"/>
        </w:rPr>
        <w:t xml:space="preserve">4201913000006797 del 19 de noviembre de 2019, </w:t>
      </w:r>
      <w:r w:rsidRPr="00E63802">
        <w:rPr>
          <w:rFonts w:ascii="Arial" w:eastAsia="Calibri" w:hAnsi="Arial" w:cs="Arial"/>
          <w:sz w:val="19"/>
          <w:szCs w:val="19"/>
        </w:rPr>
        <w:t xml:space="preserve">4201912000007182 del 3 de diciembre de 2019, 4201912000007512 del 16 de diciembre de 2019, 4201912000007607 del 9 de diciembre de 2019. </w:t>
      </w:r>
    </w:p>
    <w:p w14:paraId="642AF96A" w14:textId="77777777" w:rsidR="00E34A1C" w:rsidRPr="00061A12" w:rsidRDefault="00E34A1C">
      <w:pPr>
        <w:pStyle w:val="Textonotapie"/>
        <w:rPr>
          <w:rFonts w:ascii="Arial" w:hAnsi="Arial" w:cs="Arial"/>
          <w:sz w:val="19"/>
          <w:szCs w:val="19"/>
          <w:lang w:val="es-CO"/>
        </w:rPr>
      </w:pPr>
    </w:p>
  </w:footnote>
  <w:footnote w:id="2">
    <w:p w14:paraId="1519C57E" w14:textId="77777777" w:rsidR="00254E6E" w:rsidRPr="00E63802" w:rsidRDefault="00254E6E">
      <w:pPr>
        <w:pStyle w:val="Textonotapie"/>
        <w:ind w:firstLine="708"/>
        <w:jc w:val="both"/>
        <w:rPr>
          <w:rFonts w:ascii="Arial" w:hAnsi="Arial" w:cs="Arial"/>
          <w:sz w:val="19"/>
          <w:szCs w:val="19"/>
        </w:rPr>
      </w:pPr>
      <w:r w:rsidRPr="00E63802">
        <w:rPr>
          <w:rStyle w:val="Refdenotaalpie"/>
          <w:rFonts w:ascii="Arial" w:hAnsi="Arial" w:cs="Arial"/>
          <w:sz w:val="19"/>
          <w:szCs w:val="19"/>
        </w:rPr>
        <w:footnoteRef/>
      </w:r>
      <w:r w:rsidRPr="00E63802">
        <w:rPr>
          <w:rFonts w:ascii="Arial" w:hAnsi="Arial" w:cs="Arial"/>
          <w:sz w:val="19"/>
          <w:szCs w:val="19"/>
        </w:rPr>
        <w:t xml:space="preserve"> «Artículo 2.2.1.1.1.5.2: Información para inscripción, renovación o actualización. El interesado debe presentar a cualquier cámara de comercio del país una solicitud de registro, acompañada de la siguiente información. La cámara de comercio del domicilio del solicitante es la responsable de la inscripción, renovación o actualización correspondiente:</w:t>
      </w:r>
    </w:p>
    <w:p w14:paraId="18BA3F81" w14:textId="77777777" w:rsidR="00254E6E" w:rsidRPr="00E63802" w:rsidRDefault="00254E6E">
      <w:pPr>
        <w:pStyle w:val="Textonotapie"/>
        <w:ind w:firstLine="708"/>
        <w:jc w:val="both"/>
        <w:rPr>
          <w:rFonts w:ascii="Arial" w:hAnsi="Arial" w:cs="Arial"/>
          <w:sz w:val="19"/>
          <w:szCs w:val="19"/>
        </w:rPr>
      </w:pPr>
      <w:r w:rsidRPr="00E63802">
        <w:rPr>
          <w:rFonts w:ascii="Arial" w:hAnsi="Arial" w:cs="Arial"/>
          <w:sz w:val="19"/>
          <w:szCs w:val="19"/>
        </w:rPr>
        <w:t>[…]</w:t>
      </w:r>
    </w:p>
    <w:p w14:paraId="3C22EB57" w14:textId="77777777" w:rsidR="00254E6E" w:rsidRPr="00E63802" w:rsidRDefault="00254E6E">
      <w:pPr>
        <w:pStyle w:val="Textonotapie"/>
        <w:ind w:firstLine="708"/>
        <w:jc w:val="both"/>
        <w:rPr>
          <w:rFonts w:ascii="Arial" w:hAnsi="Arial" w:cs="Arial"/>
          <w:sz w:val="19"/>
          <w:szCs w:val="19"/>
        </w:rPr>
      </w:pPr>
      <w:r w:rsidRPr="00E63802">
        <w:rPr>
          <w:rFonts w:ascii="Arial" w:hAnsi="Arial" w:cs="Arial"/>
          <w:sz w:val="19"/>
          <w:szCs w:val="19"/>
          <w:shd w:val="clear" w:color="auto" w:fill="FFFFFF"/>
        </w:rPr>
        <w:t>»2.1.   Bienes, obras y servicios que ofrecerá a las Entidades Estatales, identificados con el Clasificador de Bienes y Servicios en el tercer nivel</w:t>
      </w:r>
      <w:r w:rsidRPr="00E63802">
        <w:rPr>
          <w:rFonts w:ascii="Arial" w:hAnsi="Arial" w:cs="Arial"/>
          <w:sz w:val="19"/>
          <w:szCs w:val="19"/>
        </w:rPr>
        <w:t>»</w:t>
      </w:r>
      <w:r w:rsidRPr="00E63802">
        <w:rPr>
          <w:rFonts w:ascii="Arial" w:hAnsi="Arial" w:cs="Arial"/>
          <w:sz w:val="19"/>
          <w:szCs w:val="19"/>
          <w:shd w:val="clear" w:color="auto" w:fill="FFFFFF"/>
        </w:rPr>
        <w:t>.</w:t>
      </w:r>
    </w:p>
    <w:p w14:paraId="22AB3A48" w14:textId="77777777" w:rsidR="00254E6E" w:rsidRPr="00E63802" w:rsidRDefault="00254E6E">
      <w:pPr>
        <w:pStyle w:val="Textonotapie"/>
        <w:ind w:firstLine="708"/>
        <w:jc w:val="both"/>
        <w:rPr>
          <w:rFonts w:ascii="Arial" w:hAnsi="Arial" w:cs="Arial"/>
          <w:sz w:val="19"/>
          <w:szCs w:val="19"/>
          <w:lang w:val="es-CO"/>
        </w:rPr>
      </w:pPr>
    </w:p>
  </w:footnote>
  <w:footnote w:id="3">
    <w:p w14:paraId="1DE78F2F" w14:textId="77777777" w:rsidR="00254E6E" w:rsidRPr="00E63802" w:rsidRDefault="00254E6E">
      <w:pPr>
        <w:pStyle w:val="Textonotapie"/>
        <w:ind w:firstLine="708"/>
        <w:jc w:val="both"/>
        <w:rPr>
          <w:rFonts w:ascii="Arial" w:hAnsi="Arial" w:cs="Arial"/>
          <w:sz w:val="19"/>
          <w:szCs w:val="19"/>
        </w:rPr>
      </w:pPr>
      <w:r w:rsidRPr="00E63802">
        <w:rPr>
          <w:rStyle w:val="Refdenotaalpie"/>
          <w:rFonts w:ascii="Arial" w:hAnsi="Arial" w:cs="Arial"/>
          <w:sz w:val="19"/>
          <w:szCs w:val="19"/>
        </w:rPr>
        <w:footnoteRef/>
      </w:r>
      <w:r w:rsidRPr="00E63802">
        <w:rPr>
          <w:rFonts w:ascii="Arial" w:hAnsi="Arial" w:cs="Arial"/>
          <w:sz w:val="19"/>
          <w:szCs w:val="19"/>
        </w:rPr>
        <w:t xml:space="preserve">  «Artículo 2.2.1.1.1.5.2. Información para inscripción, renovación o actualización. El interesado debe presentar a cualquier cámara de comercio del país una solicitud de registro, acompañada de la siguiente información. La cámara de comercio del domicilio del solicitante es la responsable de la inscripción, renovación o actualización correspondiente:</w:t>
      </w:r>
    </w:p>
    <w:p w14:paraId="576CCC4C" w14:textId="77777777" w:rsidR="00254E6E" w:rsidRPr="00E63802" w:rsidRDefault="00254E6E">
      <w:pPr>
        <w:pStyle w:val="Textonotapie"/>
        <w:ind w:firstLine="708"/>
        <w:jc w:val="both"/>
        <w:rPr>
          <w:rFonts w:ascii="Arial" w:hAnsi="Arial" w:cs="Arial"/>
          <w:sz w:val="19"/>
          <w:szCs w:val="19"/>
        </w:rPr>
      </w:pPr>
      <w:r w:rsidRPr="00E63802">
        <w:rPr>
          <w:rFonts w:ascii="Arial" w:hAnsi="Arial" w:cs="Arial"/>
          <w:sz w:val="19"/>
          <w:szCs w:val="19"/>
        </w:rPr>
        <w:t>[…]</w:t>
      </w:r>
    </w:p>
    <w:p w14:paraId="03E671BB" w14:textId="77777777" w:rsidR="00254E6E" w:rsidRPr="00E63802" w:rsidRDefault="00254E6E">
      <w:pPr>
        <w:pStyle w:val="Textonotapie"/>
        <w:ind w:firstLine="708"/>
        <w:jc w:val="both"/>
        <w:rPr>
          <w:rFonts w:ascii="Arial" w:hAnsi="Arial" w:cs="Arial"/>
          <w:sz w:val="19"/>
          <w:szCs w:val="19"/>
          <w:lang w:val="es-CO"/>
        </w:rPr>
      </w:pPr>
      <w:r w:rsidRPr="00E63802">
        <w:rPr>
          <w:rFonts w:ascii="Arial" w:hAnsi="Arial" w:cs="Arial"/>
          <w:sz w:val="19"/>
          <w:szCs w:val="19"/>
          <w:shd w:val="clear" w:color="auto" w:fill="FFFFFF"/>
        </w:rPr>
        <w:t>»2.5. Certificados de la experiencia en la provisión de los bienes, obras y servicios que ofrecerá a las Entidades Estatales, los cuales deben ser expedidos por terceros que hayan recibido tales bienes, obras o servicios y deben corresponder a contratos ejecutados o copias de los contratos cuando el interesado no puede obtener tal certificado. El interesado debe indicar en cada certificado o en cada copia de los contratos, los bienes, obras y servicios a los cuales corresponde la experiencia que pretende acreditar, identificándolos con el Clasi</w:t>
      </w:r>
      <w:r w:rsidRPr="00E63802">
        <w:rPr>
          <w:rFonts w:ascii="Arial" w:hAnsi="Arial" w:cs="Arial"/>
          <w:sz w:val="19"/>
          <w:szCs w:val="19"/>
          <w:shd w:val="clear" w:color="auto" w:fill="FFFFFF"/>
        </w:rPr>
        <w:softHyphen/>
        <w:t>ficador de Bienes y Servicios en el tercer nivel. Si la constitución del interesado es menor a 3 años, puede acreditar la experiencia de sus accionistas, socios o constituyentes</w:t>
      </w:r>
      <w:r w:rsidRPr="00E63802">
        <w:rPr>
          <w:rFonts w:ascii="Arial" w:hAnsi="Arial" w:cs="Arial"/>
          <w:sz w:val="19"/>
          <w:szCs w:val="19"/>
        </w:rPr>
        <w:t>».</w:t>
      </w:r>
    </w:p>
  </w:footnote>
  <w:footnote w:id="4">
    <w:p w14:paraId="3AA5B88C" w14:textId="77777777" w:rsidR="00254E6E" w:rsidRPr="00E63802" w:rsidRDefault="00254E6E">
      <w:pPr>
        <w:pStyle w:val="Textonotapie"/>
        <w:ind w:left="708" w:firstLine="1"/>
        <w:rPr>
          <w:rFonts w:ascii="Arial" w:hAnsi="Arial" w:cs="Arial"/>
          <w:sz w:val="19"/>
          <w:szCs w:val="19"/>
        </w:rPr>
      </w:pPr>
      <w:r w:rsidRPr="00061A12">
        <w:rPr>
          <w:rStyle w:val="Refdenotaalpie"/>
          <w:rFonts w:ascii="Arial" w:hAnsi="Arial" w:cs="Arial"/>
          <w:sz w:val="19"/>
          <w:szCs w:val="19"/>
        </w:rPr>
        <w:footnoteRef/>
      </w:r>
      <w:r w:rsidRPr="00061A12">
        <w:rPr>
          <w:rFonts w:ascii="Arial" w:hAnsi="Arial" w:cs="Arial"/>
          <w:sz w:val="19"/>
          <w:szCs w:val="19"/>
        </w:rPr>
        <w:t xml:space="preserve"> </w:t>
      </w:r>
      <w:r w:rsidRPr="00E63802">
        <w:rPr>
          <w:rFonts w:ascii="Arial" w:hAnsi="Arial" w:cs="Arial"/>
          <w:sz w:val="19"/>
          <w:szCs w:val="19"/>
        </w:rPr>
        <w:t>Colombia Compra Eficiente. Concepto del 7 de febrero de 2018, Rad. 2201813000000954.</w:t>
      </w:r>
    </w:p>
    <w:p w14:paraId="02A5B3BF" w14:textId="77777777" w:rsidR="00254E6E" w:rsidRPr="00061A12" w:rsidRDefault="00254E6E">
      <w:pPr>
        <w:pStyle w:val="Textonotapie"/>
        <w:ind w:left="708" w:firstLine="1"/>
        <w:rPr>
          <w:rFonts w:ascii="Arial" w:hAnsi="Arial" w:cs="Arial"/>
          <w:sz w:val="19"/>
          <w:szCs w:val="19"/>
        </w:rPr>
      </w:pPr>
    </w:p>
  </w:footnote>
  <w:footnote w:id="5">
    <w:p w14:paraId="29ED548B" w14:textId="77777777" w:rsidR="00254E6E" w:rsidRPr="00E63802" w:rsidRDefault="00254E6E">
      <w:pPr>
        <w:pStyle w:val="Textocomentario"/>
        <w:ind w:firstLine="708"/>
        <w:jc w:val="both"/>
        <w:rPr>
          <w:rFonts w:ascii="Arial" w:hAnsi="Arial" w:cs="Arial"/>
          <w:sz w:val="19"/>
          <w:szCs w:val="19"/>
          <w:lang w:val="es-CO"/>
        </w:rPr>
      </w:pPr>
      <w:r w:rsidRPr="00E63802">
        <w:rPr>
          <w:rStyle w:val="Refdenotaalpie"/>
          <w:rFonts w:ascii="Arial" w:hAnsi="Arial" w:cs="Arial"/>
          <w:sz w:val="19"/>
          <w:szCs w:val="19"/>
        </w:rPr>
        <w:footnoteRef/>
      </w:r>
      <w:r w:rsidRPr="00E63802">
        <w:rPr>
          <w:rFonts w:ascii="Arial" w:hAnsi="Arial" w:cs="Arial"/>
          <w:sz w:val="19"/>
          <w:szCs w:val="19"/>
        </w:rPr>
        <w:t xml:space="preserve"> En el marco del Estado de emergencia económica, social y ecológica declarado por el Gobierno Nacional a través del Decreto 417 de 2020, a causa de la pandemia mundial desatada por el virus del Covid 19, se expidió el Decreto 434 de 2020 el cual dispone lo siguiente: «Artículo 2°. Renovación del Registro Único de Proponentes. Las personas naturales y jurídicas, nacionales o extranjeras, con domicilio en Colombia, interesadas en participar en Procesos de Contratación convocados por las entidades estatales, deben estar inscritas en el RUP, salvo las excepciones previstas de forma taxativa en la ley. Las personas inscritas en el RUP deben presentar la información para renovar su registro a más tardar el quinto día hábil del mes de julio de 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B0245" w14:textId="77777777" w:rsidR="00E139BC" w:rsidRPr="00E139BC" w:rsidRDefault="00E139BC" w:rsidP="00DE311F">
    <w:pPr>
      <w:pStyle w:val="Encabezado"/>
      <w:rPr>
        <w:sz w:val="20"/>
        <w:szCs w:val="20"/>
      </w:rPr>
    </w:pPr>
  </w:p>
  <w:p w14:paraId="14B4864F" w14:textId="00E875C7" w:rsidR="00DE311F" w:rsidRDefault="006C1992" w:rsidP="00DE311F">
    <w:pPr>
      <w:pStyle w:val="Encabezado"/>
    </w:pPr>
    <w:r>
      <w:rPr>
        <w:noProof/>
        <w:lang w:val="en-US"/>
      </w:rPr>
      <w:drawing>
        <wp:anchor distT="0" distB="0" distL="114300" distR="114300" simplePos="0" relativeHeight="251659264" behindDoc="1" locked="0" layoutInCell="1" allowOverlap="1" wp14:anchorId="39B85FA0" wp14:editId="71395A8F">
          <wp:simplePos x="0" y="0"/>
          <wp:positionH relativeFrom="margin">
            <wp:align>right</wp:align>
          </wp:positionH>
          <wp:positionV relativeFrom="paragraph">
            <wp:posOffset>-155575</wp:posOffset>
          </wp:positionV>
          <wp:extent cx="1257300" cy="516255"/>
          <wp:effectExtent l="0" t="0" r="0" b="0"/>
          <wp:wrapTight wrapText="bothSides">
            <wp:wrapPolygon edited="0">
              <wp:start x="327" y="0"/>
              <wp:lineTo x="327" y="18332"/>
              <wp:lineTo x="1964" y="19129"/>
              <wp:lineTo x="11127" y="20723"/>
              <wp:lineTo x="12764" y="20723"/>
              <wp:lineTo x="19636" y="19129"/>
              <wp:lineTo x="21273" y="18332"/>
              <wp:lineTo x="20945" y="0"/>
              <wp:lineTo x="327" y="0"/>
            </wp:wrapPolygon>
          </wp:wrapTight>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257300" cy="51625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C914A15" w14:textId="77777777" w:rsidR="00DE311F" w:rsidRDefault="00286E3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06310"/>
    <w:multiLevelType w:val="multilevel"/>
    <w:tmpl w:val="E884D610"/>
    <w:lvl w:ilvl="0">
      <w:start w:val="1"/>
      <w:numFmt w:val="decimal"/>
      <w:lvlText w:val="%1."/>
      <w:lvlJc w:val="left"/>
      <w:pPr>
        <w:ind w:left="6601" w:hanging="360"/>
      </w:pPr>
      <w:rPr>
        <w:b/>
        <w:color w:val="auto"/>
      </w:rPr>
    </w:lvl>
    <w:lvl w:ilvl="1">
      <w:start w:val="2"/>
      <w:numFmt w:val="decimal"/>
      <w:isLgl/>
      <w:lvlText w:val="%1.%2"/>
      <w:lvlJc w:val="left"/>
      <w:pPr>
        <w:ind w:left="6241" w:hanging="360"/>
      </w:pPr>
    </w:lvl>
    <w:lvl w:ilvl="2">
      <w:start w:val="1"/>
      <w:numFmt w:val="decimal"/>
      <w:isLgl/>
      <w:lvlText w:val="%1.%2.%3"/>
      <w:lvlJc w:val="left"/>
      <w:pPr>
        <w:ind w:left="6961" w:hanging="720"/>
      </w:pPr>
    </w:lvl>
    <w:lvl w:ilvl="3">
      <w:start w:val="1"/>
      <w:numFmt w:val="decimal"/>
      <w:isLgl/>
      <w:lvlText w:val="%1.%2.%3.%4"/>
      <w:lvlJc w:val="left"/>
      <w:pPr>
        <w:ind w:left="6961" w:hanging="720"/>
      </w:pPr>
    </w:lvl>
    <w:lvl w:ilvl="4">
      <w:start w:val="1"/>
      <w:numFmt w:val="decimal"/>
      <w:isLgl/>
      <w:lvlText w:val="%1.%2.%3.%4.%5"/>
      <w:lvlJc w:val="left"/>
      <w:pPr>
        <w:ind w:left="7321" w:hanging="1080"/>
      </w:pPr>
    </w:lvl>
    <w:lvl w:ilvl="5">
      <w:start w:val="1"/>
      <w:numFmt w:val="decimal"/>
      <w:isLgl/>
      <w:lvlText w:val="%1.%2.%3.%4.%5.%6"/>
      <w:lvlJc w:val="left"/>
      <w:pPr>
        <w:ind w:left="7321" w:hanging="1080"/>
      </w:pPr>
    </w:lvl>
    <w:lvl w:ilvl="6">
      <w:start w:val="1"/>
      <w:numFmt w:val="decimal"/>
      <w:isLgl/>
      <w:lvlText w:val="%1.%2.%3.%4.%5.%6.%7"/>
      <w:lvlJc w:val="left"/>
      <w:pPr>
        <w:ind w:left="7681" w:hanging="1440"/>
      </w:pPr>
    </w:lvl>
    <w:lvl w:ilvl="7">
      <w:start w:val="1"/>
      <w:numFmt w:val="decimal"/>
      <w:isLgl/>
      <w:lvlText w:val="%1.%2.%3.%4.%5.%6.%7.%8"/>
      <w:lvlJc w:val="left"/>
      <w:pPr>
        <w:ind w:left="7681" w:hanging="1440"/>
      </w:pPr>
    </w:lvl>
    <w:lvl w:ilvl="8">
      <w:start w:val="1"/>
      <w:numFmt w:val="decimal"/>
      <w:isLgl/>
      <w:lvlText w:val="%1.%2.%3.%4.%5.%6.%7.%8.%9"/>
      <w:lvlJc w:val="left"/>
      <w:pPr>
        <w:ind w:left="8041" w:hanging="1800"/>
      </w:pPr>
    </w:lvl>
  </w:abstractNum>
  <w:abstractNum w:abstractNumId="1" w15:restartNumberingAfterBreak="0">
    <w:nsid w:val="284E6E7A"/>
    <w:multiLevelType w:val="hybridMultilevel"/>
    <w:tmpl w:val="F710CE9E"/>
    <w:lvl w:ilvl="0" w:tplc="3B021B8A">
      <w:start w:val="1"/>
      <w:numFmt w:val="lowerRoman"/>
      <w:lvlText w:val="%1)"/>
      <w:lvlJc w:val="left"/>
      <w:pPr>
        <w:ind w:left="1429" w:hanging="72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2" w15:restartNumberingAfterBreak="0">
    <w:nsid w:val="45407562"/>
    <w:multiLevelType w:val="hybridMultilevel"/>
    <w:tmpl w:val="29F61C86"/>
    <w:lvl w:ilvl="0" w:tplc="C896AA70">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995"/>
    <w:rsid w:val="00061A12"/>
    <w:rsid w:val="00085F5C"/>
    <w:rsid w:val="000D0FBA"/>
    <w:rsid w:val="001337BA"/>
    <w:rsid w:val="00254E6E"/>
    <w:rsid w:val="00286E36"/>
    <w:rsid w:val="002B542A"/>
    <w:rsid w:val="002D4ADE"/>
    <w:rsid w:val="002E755A"/>
    <w:rsid w:val="00372FE0"/>
    <w:rsid w:val="003C5C49"/>
    <w:rsid w:val="003D1995"/>
    <w:rsid w:val="00425143"/>
    <w:rsid w:val="00452F38"/>
    <w:rsid w:val="004B3B6D"/>
    <w:rsid w:val="00505783"/>
    <w:rsid w:val="00562A3E"/>
    <w:rsid w:val="005A4D19"/>
    <w:rsid w:val="005C5DBF"/>
    <w:rsid w:val="005C6927"/>
    <w:rsid w:val="00654828"/>
    <w:rsid w:val="006C1992"/>
    <w:rsid w:val="007079F7"/>
    <w:rsid w:val="00721E9A"/>
    <w:rsid w:val="00780ABF"/>
    <w:rsid w:val="007B7BE1"/>
    <w:rsid w:val="007C1F5A"/>
    <w:rsid w:val="007E0D1E"/>
    <w:rsid w:val="00852124"/>
    <w:rsid w:val="00874E1F"/>
    <w:rsid w:val="008F6545"/>
    <w:rsid w:val="00997DF3"/>
    <w:rsid w:val="009A5BBB"/>
    <w:rsid w:val="009C2995"/>
    <w:rsid w:val="00A34CCB"/>
    <w:rsid w:val="00A71209"/>
    <w:rsid w:val="00B12EEA"/>
    <w:rsid w:val="00BD0429"/>
    <w:rsid w:val="00BD661F"/>
    <w:rsid w:val="00C035E8"/>
    <w:rsid w:val="00C11AEA"/>
    <w:rsid w:val="00CA5DBA"/>
    <w:rsid w:val="00CB2D4E"/>
    <w:rsid w:val="00D43817"/>
    <w:rsid w:val="00D83E44"/>
    <w:rsid w:val="00D85077"/>
    <w:rsid w:val="00DB2DA9"/>
    <w:rsid w:val="00E139BC"/>
    <w:rsid w:val="00E344FB"/>
    <w:rsid w:val="00E34A1C"/>
    <w:rsid w:val="00E63802"/>
    <w:rsid w:val="00ED6D64"/>
    <w:rsid w:val="00F614F9"/>
    <w:rsid w:val="00F71056"/>
    <w:rsid w:val="00F80562"/>
    <w:rsid w:val="00FA3DFF"/>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3DD321"/>
  <w15:chartTrackingRefBased/>
  <w15:docId w15:val="{E77A124F-525A-4964-8267-DB831B0AB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1995"/>
    <w:pPr>
      <w:spacing w:after="0" w:line="240" w:lineRule="auto"/>
    </w:pPr>
    <w:rPr>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qFormat/>
    <w:rsid w:val="003D19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Fotografía,Párrafo de lista1,Bullet List,FooterText,numbered,Paragraphe de liste1,lp1,Scitum normal,HOJA,Bolita,Párrafo de lista4,BOLADEF,Párrafo de lista3,Párrafo de lista21,BOLA,Nivel 1 OS,Colorful List Accent 1"/>
    <w:basedOn w:val="Normal"/>
    <w:link w:val="PrrafodelistaCar"/>
    <w:uiPriority w:val="34"/>
    <w:qFormat/>
    <w:rsid w:val="003D1995"/>
    <w:pPr>
      <w:ind w:left="720"/>
      <w:contextualSpacing/>
    </w:pPr>
  </w:style>
  <w:style w:type="character" w:customStyle="1" w:styleId="PrrafodelistaCar">
    <w:name w:val="Párrafo de lista Car"/>
    <w:aliases w:val="Fotografía Car,Párrafo de lista1 Car,Bullet List Car,FooterText Car,numbered Car,Paragraphe de liste1 Car,lp1 Car,Scitum normal Car,HOJA Car,Bolita Car,Párrafo de lista4 Car,BOLADEF Car,Párrafo de lista3 Car,Párrafo de lista21 Car"/>
    <w:link w:val="Prrafodelista"/>
    <w:uiPriority w:val="34"/>
    <w:qFormat/>
    <w:locked/>
    <w:rsid w:val="003D1995"/>
    <w:rPr>
      <w:sz w:val="24"/>
      <w:lang w:val="es-MX"/>
    </w:rPr>
  </w:style>
  <w:style w:type="paragraph" w:styleId="Textocomentario">
    <w:name w:val="annotation text"/>
    <w:basedOn w:val="Normal"/>
    <w:link w:val="TextocomentarioCar"/>
    <w:uiPriority w:val="99"/>
    <w:unhideWhenUsed/>
    <w:rsid w:val="003D1995"/>
    <w:rPr>
      <w:sz w:val="20"/>
      <w:szCs w:val="20"/>
    </w:rPr>
  </w:style>
  <w:style w:type="character" w:customStyle="1" w:styleId="TextocomentarioCar">
    <w:name w:val="Texto comentario Car"/>
    <w:basedOn w:val="Fuentedeprrafopredeter"/>
    <w:link w:val="Textocomentario"/>
    <w:uiPriority w:val="99"/>
    <w:rsid w:val="003D1995"/>
    <w:rPr>
      <w:sz w:val="20"/>
      <w:szCs w:val="20"/>
      <w:lang w:val="es-MX"/>
    </w:rPr>
  </w:style>
  <w:style w:type="character" w:customStyle="1" w:styleId="TextonotapieCar">
    <w:name w:val="Texto nota pie Car"/>
    <w:aliases w:val="Ref. de nota al pie1 Car,Texto de nota al pie Car,referencia nota al pie Car,Appel note de bas de page Car,Footnotes refss Car,Footnote number Car,BVI fnr Car,Footnote Text Char Char Char Char Char Car,Footnote reference Car,FA Fu Car"/>
    <w:basedOn w:val="Fuentedeprrafopredeter"/>
    <w:link w:val="Textonotapie"/>
    <w:uiPriority w:val="99"/>
    <w:locked/>
    <w:rsid w:val="003D1995"/>
    <w:rPr>
      <w:sz w:val="20"/>
      <w:szCs w:val="20"/>
      <w:lang w:val="es-MX"/>
    </w:rPr>
  </w:style>
  <w:style w:type="paragraph" w:styleId="Textonotapie">
    <w:name w:val="footnote text"/>
    <w:aliases w:val="Ref. de nota al pie1,Texto de nota al pie,referencia nota al pie,Appel note de bas de page,Footnotes refss,Footnote number,BVI fnr,Footnote Text Char Char Char Char Char,Footnote Text Char Char Char Char,Footnote reference,FA Fu,ft"/>
    <w:basedOn w:val="Normal"/>
    <w:link w:val="TextonotapieCar"/>
    <w:uiPriority w:val="99"/>
    <w:unhideWhenUsed/>
    <w:qFormat/>
    <w:rsid w:val="003D1995"/>
    <w:rPr>
      <w:sz w:val="20"/>
      <w:szCs w:val="20"/>
    </w:rPr>
  </w:style>
  <w:style w:type="character" w:customStyle="1" w:styleId="TextonotapieCar1">
    <w:name w:val="Texto nota pie Car1"/>
    <w:basedOn w:val="Fuentedeprrafopredeter"/>
    <w:uiPriority w:val="99"/>
    <w:semiHidden/>
    <w:rsid w:val="003D1995"/>
    <w:rPr>
      <w:sz w:val="20"/>
      <w:szCs w:val="20"/>
      <w:lang w:val="es-MX"/>
    </w:rPr>
  </w:style>
  <w:style w:type="character" w:styleId="Refdenotaalpie">
    <w:name w:val="footnote reference"/>
    <w:aliases w:val="Ref. de nota al pie 2,Ref,de nota al pie,FC,Appel note de bas de p,f,4_G,16 Point,Superscript 6 Point,Texto nota al pie,Pie de Página,Texto de nota al pi,Nota de pie,Texto de nota al p,Footnote symbol,Footnote,Ref. de nota al pie2"/>
    <w:basedOn w:val="Fuentedeprrafopredeter"/>
    <w:uiPriority w:val="99"/>
    <w:unhideWhenUsed/>
    <w:qFormat/>
    <w:rsid w:val="003D1995"/>
    <w:rPr>
      <w:vertAlign w:val="superscript"/>
    </w:rPr>
  </w:style>
  <w:style w:type="paragraph" w:customStyle="1" w:styleId="Default">
    <w:name w:val="Default"/>
    <w:rsid w:val="003D1995"/>
    <w:pPr>
      <w:autoSpaceDE w:val="0"/>
      <w:autoSpaceDN w:val="0"/>
      <w:adjustRightInd w:val="0"/>
      <w:spacing w:after="0" w:line="240" w:lineRule="auto"/>
    </w:pPr>
    <w:rPr>
      <w:rFonts w:ascii="Arial" w:hAnsi="Arial" w:cs="Arial"/>
      <w:color w:val="000000"/>
      <w:sz w:val="24"/>
      <w:szCs w:val="24"/>
    </w:rPr>
  </w:style>
  <w:style w:type="paragraph" w:styleId="Encabezado">
    <w:name w:val="header"/>
    <w:basedOn w:val="Normal"/>
    <w:link w:val="EncabezadoCar"/>
    <w:uiPriority w:val="99"/>
    <w:unhideWhenUsed/>
    <w:rsid w:val="003D1995"/>
    <w:pPr>
      <w:tabs>
        <w:tab w:val="center" w:pos="4419"/>
        <w:tab w:val="right" w:pos="8838"/>
      </w:tabs>
    </w:pPr>
  </w:style>
  <w:style w:type="character" w:customStyle="1" w:styleId="EncabezadoCar">
    <w:name w:val="Encabezado Car"/>
    <w:basedOn w:val="Fuentedeprrafopredeter"/>
    <w:link w:val="Encabezado"/>
    <w:uiPriority w:val="99"/>
    <w:rsid w:val="003D1995"/>
    <w:rPr>
      <w:sz w:val="24"/>
      <w:lang w:val="es-MX"/>
    </w:rPr>
  </w:style>
  <w:style w:type="paragraph" w:styleId="Piedepgina">
    <w:name w:val="footer"/>
    <w:basedOn w:val="Normal"/>
    <w:link w:val="PiedepginaCar"/>
    <w:uiPriority w:val="99"/>
    <w:unhideWhenUsed/>
    <w:rsid w:val="003D1995"/>
    <w:pPr>
      <w:tabs>
        <w:tab w:val="center" w:pos="4419"/>
        <w:tab w:val="right" w:pos="8838"/>
      </w:tabs>
    </w:pPr>
  </w:style>
  <w:style w:type="character" w:customStyle="1" w:styleId="PiedepginaCar">
    <w:name w:val="Pie de página Car"/>
    <w:basedOn w:val="Fuentedeprrafopredeter"/>
    <w:link w:val="Piedepgina"/>
    <w:uiPriority w:val="99"/>
    <w:rsid w:val="003D1995"/>
    <w:rPr>
      <w:sz w:val="24"/>
      <w:lang w:val="es-MX"/>
    </w:rPr>
  </w:style>
  <w:style w:type="paragraph" w:styleId="Sinespaciado">
    <w:name w:val="No Spacing"/>
    <w:uiPriority w:val="1"/>
    <w:qFormat/>
    <w:rsid w:val="003D1995"/>
    <w:pPr>
      <w:spacing w:after="0" w:line="240" w:lineRule="auto"/>
    </w:pPr>
    <w:rPr>
      <w:sz w:val="24"/>
      <w:lang w:val="es-MX"/>
    </w:rPr>
  </w:style>
  <w:style w:type="paragraph" w:styleId="Textodeglobo">
    <w:name w:val="Balloon Text"/>
    <w:basedOn w:val="Normal"/>
    <w:link w:val="TextodegloboCar"/>
    <w:uiPriority w:val="99"/>
    <w:semiHidden/>
    <w:unhideWhenUsed/>
    <w:rsid w:val="00452F38"/>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52F38"/>
    <w:rPr>
      <w:rFonts w:ascii="Segoe UI" w:hAnsi="Segoe UI" w:cs="Segoe UI"/>
      <w:sz w:val="18"/>
      <w:szCs w:val="18"/>
      <w:lang w:val="es-MX"/>
    </w:rPr>
  </w:style>
  <w:style w:type="character" w:styleId="Refdecomentario">
    <w:name w:val="annotation reference"/>
    <w:basedOn w:val="Fuentedeprrafopredeter"/>
    <w:uiPriority w:val="99"/>
    <w:semiHidden/>
    <w:unhideWhenUsed/>
    <w:rsid w:val="00F614F9"/>
    <w:rPr>
      <w:sz w:val="16"/>
      <w:szCs w:val="16"/>
    </w:rPr>
  </w:style>
  <w:style w:type="paragraph" w:styleId="Asuntodelcomentario">
    <w:name w:val="annotation subject"/>
    <w:basedOn w:val="Textocomentario"/>
    <w:next w:val="Textocomentario"/>
    <w:link w:val="AsuntodelcomentarioCar"/>
    <w:uiPriority w:val="99"/>
    <w:semiHidden/>
    <w:unhideWhenUsed/>
    <w:rsid w:val="00F614F9"/>
    <w:rPr>
      <w:b/>
      <w:bCs/>
    </w:rPr>
  </w:style>
  <w:style w:type="character" w:customStyle="1" w:styleId="AsuntodelcomentarioCar">
    <w:name w:val="Asunto del comentario Car"/>
    <w:basedOn w:val="TextocomentarioCar"/>
    <w:link w:val="Asuntodelcomentario"/>
    <w:uiPriority w:val="99"/>
    <w:semiHidden/>
    <w:rsid w:val="00F614F9"/>
    <w:rPr>
      <w:b/>
      <w:bCs/>
      <w:sz w:val="20"/>
      <w:szCs w:val="20"/>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702460">
      <w:bodyDiv w:val="1"/>
      <w:marLeft w:val="0"/>
      <w:marRight w:val="0"/>
      <w:marTop w:val="0"/>
      <w:marBottom w:val="0"/>
      <w:divBdr>
        <w:top w:val="none" w:sz="0" w:space="0" w:color="auto"/>
        <w:left w:val="none" w:sz="0" w:space="0" w:color="auto"/>
        <w:bottom w:val="none" w:sz="0" w:space="0" w:color="auto"/>
        <w:right w:val="none" w:sz="0" w:space="0" w:color="auto"/>
      </w:divBdr>
      <w:divsChild>
        <w:div w:id="702247883">
          <w:marLeft w:val="0"/>
          <w:marRight w:val="0"/>
          <w:marTop w:val="0"/>
          <w:marBottom w:val="0"/>
          <w:divBdr>
            <w:top w:val="none" w:sz="0" w:space="0" w:color="auto"/>
            <w:left w:val="none" w:sz="0" w:space="0" w:color="auto"/>
            <w:bottom w:val="none" w:sz="0" w:space="0" w:color="auto"/>
            <w:right w:val="none" w:sz="0" w:space="0" w:color="auto"/>
          </w:divBdr>
        </w:div>
        <w:div w:id="1518037759">
          <w:marLeft w:val="0"/>
          <w:marRight w:val="0"/>
          <w:marTop w:val="0"/>
          <w:marBottom w:val="0"/>
          <w:divBdr>
            <w:top w:val="none" w:sz="0" w:space="0" w:color="auto"/>
            <w:left w:val="none" w:sz="0" w:space="0" w:color="auto"/>
            <w:bottom w:val="none" w:sz="0" w:space="0" w:color="auto"/>
            <w:right w:val="none" w:sz="0" w:space="0" w:color="auto"/>
          </w:divBdr>
        </w:div>
        <w:div w:id="1841582459">
          <w:marLeft w:val="0"/>
          <w:marRight w:val="0"/>
          <w:marTop w:val="0"/>
          <w:marBottom w:val="0"/>
          <w:divBdr>
            <w:top w:val="none" w:sz="0" w:space="0" w:color="auto"/>
            <w:left w:val="none" w:sz="0" w:space="0" w:color="auto"/>
            <w:bottom w:val="none" w:sz="0" w:space="0" w:color="auto"/>
            <w:right w:val="none" w:sz="0" w:space="0" w:color="auto"/>
          </w:divBdr>
        </w:div>
        <w:div w:id="1795100314">
          <w:marLeft w:val="0"/>
          <w:marRight w:val="0"/>
          <w:marTop w:val="0"/>
          <w:marBottom w:val="0"/>
          <w:divBdr>
            <w:top w:val="none" w:sz="0" w:space="0" w:color="auto"/>
            <w:left w:val="none" w:sz="0" w:space="0" w:color="auto"/>
            <w:bottom w:val="none" w:sz="0" w:space="0" w:color="auto"/>
            <w:right w:val="none" w:sz="0" w:space="0" w:color="auto"/>
          </w:divBdr>
        </w:div>
        <w:div w:id="886137945">
          <w:marLeft w:val="0"/>
          <w:marRight w:val="0"/>
          <w:marTop w:val="0"/>
          <w:marBottom w:val="0"/>
          <w:divBdr>
            <w:top w:val="none" w:sz="0" w:space="0" w:color="auto"/>
            <w:left w:val="none" w:sz="0" w:space="0" w:color="auto"/>
            <w:bottom w:val="none" w:sz="0" w:space="0" w:color="auto"/>
            <w:right w:val="none" w:sz="0" w:space="0" w:color="auto"/>
          </w:divBdr>
        </w:div>
        <w:div w:id="1366056213">
          <w:marLeft w:val="0"/>
          <w:marRight w:val="0"/>
          <w:marTop w:val="0"/>
          <w:marBottom w:val="0"/>
          <w:divBdr>
            <w:top w:val="none" w:sz="0" w:space="0" w:color="auto"/>
            <w:left w:val="none" w:sz="0" w:space="0" w:color="auto"/>
            <w:bottom w:val="none" w:sz="0" w:space="0" w:color="auto"/>
            <w:right w:val="none" w:sz="0" w:space="0" w:color="auto"/>
          </w:divBdr>
        </w:div>
        <w:div w:id="577325547">
          <w:marLeft w:val="0"/>
          <w:marRight w:val="0"/>
          <w:marTop w:val="0"/>
          <w:marBottom w:val="0"/>
          <w:divBdr>
            <w:top w:val="none" w:sz="0" w:space="0" w:color="auto"/>
            <w:left w:val="none" w:sz="0" w:space="0" w:color="auto"/>
            <w:bottom w:val="none" w:sz="0" w:space="0" w:color="auto"/>
            <w:right w:val="none" w:sz="0" w:space="0" w:color="auto"/>
          </w:divBdr>
        </w:div>
        <w:div w:id="1610965567">
          <w:marLeft w:val="0"/>
          <w:marRight w:val="0"/>
          <w:marTop w:val="0"/>
          <w:marBottom w:val="0"/>
          <w:divBdr>
            <w:top w:val="none" w:sz="0" w:space="0" w:color="auto"/>
            <w:left w:val="none" w:sz="0" w:space="0" w:color="auto"/>
            <w:bottom w:val="none" w:sz="0" w:space="0" w:color="auto"/>
            <w:right w:val="none" w:sz="0" w:space="0" w:color="auto"/>
          </w:divBdr>
        </w:div>
        <w:div w:id="1071121745">
          <w:marLeft w:val="0"/>
          <w:marRight w:val="0"/>
          <w:marTop w:val="0"/>
          <w:marBottom w:val="0"/>
          <w:divBdr>
            <w:top w:val="none" w:sz="0" w:space="0" w:color="auto"/>
            <w:left w:val="none" w:sz="0" w:space="0" w:color="auto"/>
            <w:bottom w:val="none" w:sz="0" w:space="0" w:color="auto"/>
            <w:right w:val="none" w:sz="0" w:space="0" w:color="auto"/>
          </w:divBdr>
        </w:div>
        <w:div w:id="2070182406">
          <w:marLeft w:val="0"/>
          <w:marRight w:val="0"/>
          <w:marTop w:val="0"/>
          <w:marBottom w:val="0"/>
          <w:divBdr>
            <w:top w:val="none" w:sz="0" w:space="0" w:color="auto"/>
            <w:left w:val="none" w:sz="0" w:space="0" w:color="auto"/>
            <w:bottom w:val="none" w:sz="0" w:space="0" w:color="auto"/>
            <w:right w:val="none" w:sz="0" w:space="0" w:color="auto"/>
          </w:divBdr>
        </w:div>
        <w:div w:id="1787114464">
          <w:marLeft w:val="0"/>
          <w:marRight w:val="0"/>
          <w:marTop w:val="0"/>
          <w:marBottom w:val="0"/>
          <w:divBdr>
            <w:top w:val="none" w:sz="0" w:space="0" w:color="auto"/>
            <w:left w:val="none" w:sz="0" w:space="0" w:color="auto"/>
            <w:bottom w:val="none" w:sz="0" w:space="0" w:color="auto"/>
            <w:right w:val="none" w:sz="0" w:space="0" w:color="auto"/>
          </w:divBdr>
        </w:div>
        <w:div w:id="480925312">
          <w:marLeft w:val="0"/>
          <w:marRight w:val="0"/>
          <w:marTop w:val="0"/>
          <w:marBottom w:val="0"/>
          <w:divBdr>
            <w:top w:val="none" w:sz="0" w:space="0" w:color="auto"/>
            <w:left w:val="none" w:sz="0" w:space="0" w:color="auto"/>
            <w:bottom w:val="none" w:sz="0" w:space="0" w:color="auto"/>
            <w:right w:val="none" w:sz="0" w:space="0" w:color="auto"/>
          </w:divBdr>
        </w:div>
        <w:div w:id="214657411">
          <w:marLeft w:val="0"/>
          <w:marRight w:val="0"/>
          <w:marTop w:val="0"/>
          <w:marBottom w:val="0"/>
          <w:divBdr>
            <w:top w:val="none" w:sz="0" w:space="0" w:color="auto"/>
            <w:left w:val="none" w:sz="0" w:space="0" w:color="auto"/>
            <w:bottom w:val="none" w:sz="0" w:space="0" w:color="auto"/>
            <w:right w:val="none" w:sz="0" w:space="0" w:color="auto"/>
          </w:divBdr>
        </w:div>
        <w:div w:id="1573806478">
          <w:marLeft w:val="0"/>
          <w:marRight w:val="0"/>
          <w:marTop w:val="0"/>
          <w:marBottom w:val="0"/>
          <w:divBdr>
            <w:top w:val="none" w:sz="0" w:space="0" w:color="auto"/>
            <w:left w:val="none" w:sz="0" w:space="0" w:color="auto"/>
            <w:bottom w:val="none" w:sz="0" w:space="0" w:color="auto"/>
            <w:right w:val="none" w:sz="0" w:space="0" w:color="auto"/>
          </w:divBdr>
        </w:div>
        <w:div w:id="392704010">
          <w:marLeft w:val="0"/>
          <w:marRight w:val="0"/>
          <w:marTop w:val="0"/>
          <w:marBottom w:val="0"/>
          <w:divBdr>
            <w:top w:val="none" w:sz="0" w:space="0" w:color="auto"/>
            <w:left w:val="none" w:sz="0" w:space="0" w:color="auto"/>
            <w:bottom w:val="none" w:sz="0" w:space="0" w:color="auto"/>
            <w:right w:val="none" w:sz="0" w:space="0" w:color="auto"/>
          </w:divBdr>
        </w:div>
        <w:div w:id="199173143">
          <w:marLeft w:val="0"/>
          <w:marRight w:val="0"/>
          <w:marTop w:val="0"/>
          <w:marBottom w:val="0"/>
          <w:divBdr>
            <w:top w:val="none" w:sz="0" w:space="0" w:color="auto"/>
            <w:left w:val="none" w:sz="0" w:space="0" w:color="auto"/>
            <w:bottom w:val="none" w:sz="0" w:space="0" w:color="auto"/>
            <w:right w:val="none" w:sz="0" w:space="0" w:color="auto"/>
          </w:divBdr>
        </w:div>
        <w:div w:id="328336842">
          <w:marLeft w:val="0"/>
          <w:marRight w:val="0"/>
          <w:marTop w:val="0"/>
          <w:marBottom w:val="0"/>
          <w:divBdr>
            <w:top w:val="none" w:sz="0" w:space="0" w:color="auto"/>
            <w:left w:val="none" w:sz="0" w:space="0" w:color="auto"/>
            <w:bottom w:val="none" w:sz="0" w:space="0" w:color="auto"/>
            <w:right w:val="none" w:sz="0" w:space="0" w:color="auto"/>
          </w:divBdr>
        </w:div>
        <w:div w:id="444617638">
          <w:marLeft w:val="0"/>
          <w:marRight w:val="0"/>
          <w:marTop w:val="0"/>
          <w:marBottom w:val="0"/>
          <w:divBdr>
            <w:top w:val="none" w:sz="0" w:space="0" w:color="auto"/>
            <w:left w:val="none" w:sz="0" w:space="0" w:color="auto"/>
            <w:bottom w:val="none" w:sz="0" w:space="0" w:color="auto"/>
            <w:right w:val="none" w:sz="0" w:space="0" w:color="auto"/>
          </w:divBdr>
        </w:div>
        <w:div w:id="880244262">
          <w:marLeft w:val="0"/>
          <w:marRight w:val="0"/>
          <w:marTop w:val="0"/>
          <w:marBottom w:val="0"/>
          <w:divBdr>
            <w:top w:val="none" w:sz="0" w:space="0" w:color="auto"/>
            <w:left w:val="none" w:sz="0" w:space="0" w:color="auto"/>
            <w:bottom w:val="none" w:sz="0" w:space="0" w:color="auto"/>
            <w:right w:val="none" w:sz="0" w:space="0" w:color="auto"/>
          </w:divBdr>
        </w:div>
        <w:div w:id="1201480783">
          <w:marLeft w:val="0"/>
          <w:marRight w:val="0"/>
          <w:marTop w:val="0"/>
          <w:marBottom w:val="0"/>
          <w:divBdr>
            <w:top w:val="none" w:sz="0" w:space="0" w:color="auto"/>
            <w:left w:val="none" w:sz="0" w:space="0" w:color="auto"/>
            <w:bottom w:val="none" w:sz="0" w:space="0" w:color="auto"/>
            <w:right w:val="none" w:sz="0" w:space="0" w:color="auto"/>
          </w:divBdr>
        </w:div>
        <w:div w:id="1906986188">
          <w:marLeft w:val="0"/>
          <w:marRight w:val="0"/>
          <w:marTop w:val="0"/>
          <w:marBottom w:val="0"/>
          <w:divBdr>
            <w:top w:val="none" w:sz="0" w:space="0" w:color="auto"/>
            <w:left w:val="none" w:sz="0" w:space="0" w:color="auto"/>
            <w:bottom w:val="none" w:sz="0" w:space="0" w:color="auto"/>
            <w:right w:val="none" w:sz="0" w:space="0" w:color="auto"/>
          </w:divBdr>
        </w:div>
        <w:div w:id="1466582123">
          <w:marLeft w:val="0"/>
          <w:marRight w:val="0"/>
          <w:marTop w:val="0"/>
          <w:marBottom w:val="0"/>
          <w:divBdr>
            <w:top w:val="none" w:sz="0" w:space="0" w:color="auto"/>
            <w:left w:val="none" w:sz="0" w:space="0" w:color="auto"/>
            <w:bottom w:val="none" w:sz="0" w:space="0" w:color="auto"/>
            <w:right w:val="none" w:sz="0" w:space="0" w:color="auto"/>
          </w:divBdr>
        </w:div>
        <w:div w:id="1303004760">
          <w:marLeft w:val="0"/>
          <w:marRight w:val="0"/>
          <w:marTop w:val="0"/>
          <w:marBottom w:val="0"/>
          <w:divBdr>
            <w:top w:val="none" w:sz="0" w:space="0" w:color="auto"/>
            <w:left w:val="none" w:sz="0" w:space="0" w:color="auto"/>
            <w:bottom w:val="none" w:sz="0" w:space="0" w:color="auto"/>
            <w:right w:val="none" w:sz="0" w:space="0" w:color="auto"/>
          </w:divBdr>
        </w:div>
        <w:div w:id="1299605712">
          <w:marLeft w:val="0"/>
          <w:marRight w:val="0"/>
          <w:marTop w:val="0"/>
          <w:marBottom w:val="0"/>
          <w:divBdr>
            <w:top w:val="none" w:sz="0" w:space="0" w:color="auto"/>
            <w:left w:val="none" w:sz="0" w:space="0" w:color="auto"/>
            <w:bottom w:val="none" w:sz="0" w:space="0" w:color="auto"/>
            <w:right w:val="none" w:sz="0" w:space="0" w:color="auto"/>
          </w:divBdr>
        </w:div>
        <w:div w:id="582615742">
          <w:marLeft w:val="0"/>
          <w:marRight w:val="0"/>
          <w:marTop w:val="0"/>
          <w:marBottom w:val="0"/>
          <w:divBdr>
            <w:top w:val="none" w:sz="0" w:space="0" w:color="auto"/>
            <w:left w:val="none" w:sz="0" w:space="0" w:color="auto"/>
            <w:bottom w:val="none" w:sz="0" w:space="0" w:color="auto"/>
            <w:right w:val="none" w:sz="0" w:space="0" w:color="auto"/>
          </w:divBdr>
        </w:div>
        <w:div w:id="1237743194">
          <w:marLeft w:val="0"/>
          <w:marRight w:val="0"/>
          <w:marTop w:val="0"/>
          <w:marBottom w:val="0"/>
          <w:divBdr>
            <w:top w:val="none" w:sz="0" w:space="0" w:color="auto"/>
            <w:left w:val="none" w:sz="0" w:space="0" w:color="auto"/>
            <w:bottom w:val="none" w:sz="0" w:space="0" w:color="auto"/>
            <w:right w:val="none" w:sz="0" w:space="0" w:color="auto"/>
          </w:divBdr>
        </w:div>
        <w:div w:id="6519233">
          <w:marLeft w:val="0"/>
          <w:marRight w:val="0"/>
          <w:marTop w:val="0"/>
          <w:marBottom w:val="0"/>
          <w:divBdr>
            <w:top w:val="none" w:sz="0" w:space="0" w:color="auto"/>
            <w:left w:val="none" w:sz="0" w:space="0" w:color="auto"/>
            <w:bottom w:val="none" w:sz="0" w:space="0" w:color="auto"/>
            <w:right w:val="none" w:sz="0" w:space="0" w:color="auto"/>
          </w:divBdr>
        </w:div>
        <w:div w:id="86272601">
          <w:marLeft w:val="0"/>
          <w:marRight w:val="0"/>
          <w:marTop w:val="0"/>
          <w:marBottom w:val="0"/>
          <w:divBdr>
            <w:top w:val="none" w:sz="0" w:space="0" w:color="auto"/>
            <w:left w:val="none" w:sz="0" w:space="0" w:color="auto"/>
            <w:bottom w:val="none" w:sz="0" w:space="0" w:color="auto"/>
            <w:right w:val="none" w:sz="0" w:space="0" w:color="auto"/>
          </w:divBdr>
        </w:div>
        <w:div w:id="2143109595">
          <w:marLeft w:val="0"/>
          <w:marRight w:val="0"/>
          <w:marTop w:val="0"/>
          <w:marBottom w:val="0"/>
          <w:divBdr>
            <w:top w:val="none" w:sz="0" w:space="0" w:color="auto"/>
            <w:left w:val="none" w:sz="0" w:space="0" w:color="auto"/>
            <w:bottom w:val="none" w:sz="0" w:space="0" w:color="auto"/>
            <w:right w:val="none" w:sz="0" w:space="0" w:color="auto"/>
          </w:divBdr>
        </w:div>
        <w:div w:id="131338077">
          <w:marLeft w:val="0"/>
          <w:marRight w:val="0"/>
          <w:marTop w:val="0"/>
          <w:marBottom w:val="0"/>
          <w:divBdr>
            <w:top w:val="none" w:sz="0" w:space="0" w:color="auto"/>
            <w:left w:val="none" w:sz="0" w:space="0" w:color="auto"/>
            <w:bottom w:val="none" w:sz="0" w:space="0" w:color="auto"/>
            <w:right w:val="none" w:sz="0" w:space="0" w:color="auto"/>
          </w:divBdr>
        </w:div>
        <w:div w:id="1811053342">
          <w:marLeft w:val="0"/>
          <w:marRight w:val="0"/>
          <w:marTop w:val="0"/>
          <w:marBottom w:val="0"/>
          <w:divBdr>
            <w:top w:val="none" w:sz="0" w:space="0" w:color="auto"/>
            <w:left w:val="none" w:sz="0" w:space="0" w:color="auto"/>
            <w:bottom w:val="none" w:sz="0" w:space="0" w:color="auto"/>
            <w:right w:val="none" w:sz="0" w:space="0" w:color="auto"/>
          </w:divBdr>
        </w:div>
        <w:div w:id="1333333070">
          <w:marLeft w:val="0"/>
          <w:marRight w:val="0"/>
          <w:marTop w:val="0"/>
          <w:marBottom w:val="0"/>
          <w:divBdr>
            <w:top w:val="none" w:sz="0" w:space="0" w:color="auto"/>
            <w:left w:val="none" w:sz="0" w:space="0" w:color="auto"/>
            <w:bottom w:val="none" w:sz="0" w:space="0" w:color="auto"/>
            <w:right w:val="none" w:sz="0" w:space="0" w:color="auto"/>
          </w:divBdr>
        </w:div>
        <w:div w:id="614336434">
          <w:marLeft w:val="0"/>
          <w:marRight w:val="0"/>
          <w:marTop w:val="0"/>
          <w:marBottom w:val="0"/>
          <w:divBdr>
            <w:top w:val="none" w:sz="0" w:space="0" w:color="auto"/>
            <w:left w:val="none" w:sz="0" w:space="0" w:color="auto"/>
            <w:bottom w:val="none" w:sz="0" w:space="0" w:color="auto"/>
            <w:right w:val="none" w:sz="0" w:space="0" w:color="auto"/>
          </w:divBdr>
        </w:div>
        <w:div w:id="1080640749">
          <w:marLeft w:val="0"/>
          <w:marRight w:val="0"/>
          <w:marTop w:val="0"/>
          <w:marBottom w:val="0"/>
          <w:divBdr>
            <w:top w:val="none" w:sz="0" w:space="0" w:color="auto"/>
            <w:left w:val="none" w:sz="0" w:space="0" w:color="auto"/>
            <w:bottom w:val="none" w:sz="0" w:space="0" w:color="auto"/>
            <w:right w:val="none" w:sz="0" w:space="0" w:color="auto"/>
          </w:divBdr>
        </w:div>
        <w:div w:id="1680934131">
          <w:marLeft w:val="0"/>
          <w:marRight w:val="0"/>
          <w:marTop w:val="0"/>
          <w:marBottom w:val="0"/>
          <w:divBdr>
            <w:top w:val="none" w:sz="0" w:space="0" w:color="auto"/>
            <w:left w:val="none" w:sz="0" w:space="0" w:color="auto"/>
            <w:bottom w:val="none" w:sz="0" w:space="0" w:color="auto"/>
            <w:right w:val="none" w:sz="0" w:space="0" w:color="auto"/>
          </w:divBdr>
        </w:div>
        <w:div w:id="1988165992">
          <w:marLeft w:val="0"/>
          <w:marRight w:val="0"/>
          <w:marTop w:val="0"/>
          <w:marBottom w:val="0"/>
          <w:divBdr>
            <w:top w:val="none" w:sz="0" w:space="0" w:color="auto"/>
            <w:left w:val="none" w:sz="0" w:space="0" w:color="auto"/>
            <w:bottom w:val="none" w:sz="0" w:space="0" w:color="auto"/>
            <w:right w:val="none" w:sz="0" w:space="0" w:color="auto"/>
          </w:divBdr>
        </w:div>
        <w:div w:id="2100060362">
          <w:marLeft w:val="0"/>
          <w:marRight w:val="0"/>
          <w:marTop w:val="0"/>
          <w:marBottom w:val="0"/>
          <w:divBdr>
            <w:top w:val="none" w:sz="0" w:space="0" w:color="auto"/>
            <w:left w:val="none" w:sz="0" w:space="0" w:color="auto"/>
            <w:bottom w:val="none" w:sz="0" w:space="0" w:color="auto"/>
            <w:right w:val="none" w:sz="0" w:space="0" w:color="auto"/>
          </w:divBdr>
        </w:div>
        <w:div w:id="1009914982">
          <w:marLeft w:val="0"/>
          <w:marRight w:val="0"/>
          <w:marTop w:val="0"/>
          <w:marBottom w:val="0"/>
          <w:divBdr>
            <w:top w:val="none" w:sz="0" w:space="0" w:color="auto"/>
            <w:left w:val="none" w:sz="0" w:space="0" w:color="auto"/>
            <w:bottom w:val="none" w:sz="0" w:space="0" w:color="auto"/>
            <w:right w:val="none" w:sz="0" w:space="0" w:color="auto"/>
          </w:divBdr>
        </w:div>
        <w:div w:id="476535695">
          <w:marLeft w:val="0"/>
          <w:marRight w:val="0"/>
          <w:marTop w:val="0"/>
          <w:marBottom w:val="0"/>
          <w:divBdr>
            <w:top w:val="none" w:sz="0" w:space="0" w:color="auto"/>
            <w:left w:val="none" w:sz="0" w:space="0" w:color="auto"/>
            <w:bottom w:val="none" w:sz="0" w:space="0" w:color="auto"/>
            <w:right w:val="none" w:sz="0" w:space="0" w:color="auto"/>
          </w:divBdr>
        </w:div>
        <w:div w:id="580333623">
          <w:marLeft w:val="0"/>
          <w:marRight w:val="0"/>
          <w:marTop w:val="0"/>
          <w:marBottom w:val="0"/>
          <w:divBdr>
            <w:top w:val="none" w:sz="0" w:space="0" w:color="auto"/>
            <w:left w:val="none" w:sz="0" w:space="0" w:color="auto"/>
            <w:bottom w:val="none" w:sz="0" w:space="0" w:color="auto"/>
            <w:right w:val="none" w:sz="0" w:space="0" w:color="auto"/>
          </w:divBdr>
        </w:div>
        <w:div w:id="1389916732">
          <w:marLeft w:val="0"/>
          <w:marRight w:val="0"/>
          <w:marTop w:val="0"/>
          <w:marBottom w:val="0"/>
          <w:divBdr>
            <w:top w:val="none" w:sz="0" w:space="0" w:color="auto"/>
            <w:left w:val="none" w:sz="0" w:space="0" w:color="auto"/>
            <w:bottom w:val="none" w:sz="0" w:space="0" w:color="auto"/>
            <w:right w:val="none" w:sz="0" w:space="0" w:color="auto"/>
          </w:divBdr>
        </w:div>
        <w:div w:id="408698054">
          <w:marLeft w:val="0"/>
          <w:marRight w:val="0"/>
          <w:marTop w:val="0"/>
          <w:marBottom w:val="0"/>
          <w:divBdr>
            <w:top w:val="none" w:sz="0" w:space="0" w:color="auto"/>
            <w:left w:val="none" w:sz="0" w:space="0" w:color="auto"/>
            <w:bottom w:val="none" w:sz="0" w:space="0" w:color="auto"/>
            <w:right w:val="none" w:sz="0" w:space="0" w:color="auto"/>
          </w:divBdr>
        </w:div>
        <w:div w:id="63450188">
          <w:marLeft w:val="0"/>
          <w:marRight w:val="0"/>
          <w:marTop w:val="0"/>
          <w:marBottom w:val="0"/>
          <w:divBdr>
            <w:top w:val="none" w:sz="0" w:space="0" w:color="auto"/>
            <w:left w:val="none" w:sz="0" w:space="0" w:color="auto"/>
            <w:bottom w:val="none" w:sz="0" w:space="0" w:color="auto"/>
            <w:right w:val="none" w:sz="0" w:space="0" w:color="auto"/>
          </w:divBdr>
        </w:div>
        <w:div w:id="2066878339">
          <w:marLeft w:val="0"/>
          <w:marRight w:val="0"/>
          <w:marTop w:val="0"/>
          <w:marBottom w:val="0"/>
          <w:divBdr>
            <w:top w:val="none" w:sz="0" w:space="0" w:color="auto"/>
            <w:left w:val="none" w:sz="0" w:space="0" w:color="auto"/>
            <w:bottom w:val="none" w:sz="0" w:space="0" w:color="auto"/>
            <w:right w:val="none" w:sz="0" w:space="0" w:color="auto"/>
          </w:divBdr>
        </w:div>
        <w:div w:id="360934870">
          <w:marLeft w:val="0"/>
          <w:marRight w:val="0"/>
          <w:marTop w:val="0"/>
          <w:marBottom w:val="0"/>
          <w:divBdr>
            <w:top w:val="none" w:sz="0" w:space="0" w:color="auto"/>
            <w:left w:val="none" w:sz="0" w:space="0" w:color="auto"/>
            <w:bottom w:val="none" w:sz="0" w:space="0" w:color="auto"/>
            <w:right w:val="none" w:sz="0" w:space="0" w:color="auto"/>
          </w:divBdr>
        </w:div>
        <w:div w:id="1213927953">
          <w:marLeft w:val="0"/>
          <w:marRight w:val="0"/>
          <w:marTop w:val="0"/>
          <w:marBottom w:val="0"/>
          <w:divBdr>
            <w:top w:val="none" w:sz="0" w:space="0" w:color="auto"/>
            <w:left w:val="none" w:sz="0" w:space="0" w:color="auto"/>
            <w:bottom w:val="none" w:sz="0" w:space="0" w:color="auto"/>
            <w:right w:val="none" w:sz="0" w:space="0" w:color="auto"/>
          </w:divBdr>
        </w:div>
        <w:div w:id="911160947">
          <w:marLeft w:val="0"/>
          <w:marRight w:val="0"/>
          <w:marTop w:val="0"/>
          <w:marBottom w:val="0"/>
          <w:divBdr>
            <w:top w:val="none" w:sz="0" w:space="0" w:color="auto"/>
            <w:left w:val="none" w:sz="0" w:space="0" w:color="auto"/>
            <w:bottom w:val="none" w:sz="0" w:space="0" w:color="auto"/>
            <w:right w:val="none" w:sz="0" w:space="0" w:color="auto"/>
          </w:divBdr>
        </w:div>
        <w:div w:id="2105957693">
          <w:marLeft w:val="0"/>
          <w:marRight w:val="0"/>
          <w:marTop w:val="0"/>
          <w:marBottom w:val="0"/>
          <w:divBdr>
            <w:top w:val="none" w:sz="0" w:space="0" w:color="auto"/>
            <w:left w:val="none" w:sz="0" w:space="0" w:color="auto"/>
            <w:bottom w:val="none" w:sz="0" w:space="0" w:color="auto"/>
            <w:right w:val="none" w:sz="0" w:space="0" w:color="auto"/>
          </w:divBdr>
        </w:div>
      </w:divsChild>
    </w:div>
    <w:div w:id="307172205">
      <w:bodyDiv w:val="1"/>
      <w:marLeft w:val="0"/>
      <w:marRight w:val="0"/>
      <w:marTop w:val="0"/>
      <w:marBottom w:val="0"/>
      <w:divBdr>
        <w:top w:val="none" w:sz="0" w:space="0" w:color="auto"/>
        <w:left w:val="none" w:sz="0" w:space="0" w:color="auto"/>
        <w:bottom w:val="none" w:sz="0" w:space="0" w:color="auto"/>
        <w:right w:val="none" w:sz="0" w:space="0" w:color="auto"/>
      </w:divBdr>
      <w:divsChild>
        <w:div w:id="188765278">
          <w:marLeft w:val="0"/>
          <w:marRight w:val="0"/>
          <w:marTop w:val="0"/>
          <w:marBottom w:val="0"/>
          <w:divBdr>
            <w:top w:val="none" w:sz="0" w:space="0" w:color="auto"/>
            <w:left w:val="none" w:sz="0" w:space="0" w:color="auto"/>
            <w:bottom w:val="none" w:sz="0" w:space="0" w:color="auto"/>
            <w:right w:val="none" w:sz="0" w:space="0" w:color="auto"/>
          </w:divBdr>
        </w:div>
        <w:div w:id="1190215852">
          <w:marLeft w:val="0"/>
          <w:marRight w:val="0"/>
          <w:marTop w:val="0"/>
          <w:marBottom w:val="0"/>
          <w:divBdr>
            <w:top w:val="none" w:sz="0" w:space="0" w:color="auto"/>
            <w:left w:val="none" w:sz="0" w:space="0" w:color="auto"/>
            <w:bottom w:val="none" w:sz="0" w:space="0" w:color="auto"/>
            <w:right w:val="none" w:sz="0" w:space="0" w:color="auto"/>
          </w:divBdr>
        </w:div>
        <w:div w:id="703675632">
          <w:marLeft w:val="0"/>
          <w:marRight w:val="0"/>
          <w:marTop w:val="0"/>
          <w:marBottom w:val="0"/>
          <w:divBdr>
            <w:top w:val="none" w:sz="0" w:space="0" w:color="auto"/>
            <w:left w:val="none" w:sz="0" w:space="0" w:color="auto"/>
            <w:bottom w:val="none" w:sz="0" w:space="0" w:color="auto"/>
            <w:right w:val="none" w:sz="0" w:space="0" w:color="auto"/>
          </w:divBdr>
        </w:div>
        <w:div w:id="1491604104">
          <w:marLeft w:val="0"/>
          <w:marRight w:val="0"/>
          <w:marTop w:val="0"/>
          <w:marBottom w:val="0"/>
          <w:divBdr>
            <w:top w:val="none" w:sz="0" w:space="0" w:color="auto"/>
            <w:left w:val="none" w:sz="0" w:space="0" w:color="auto"/>
            <w:bottom w:val="none" w:sz="0" w:space="0" w:color="auto"/>
            <w:right w:val="none" w:sz="0" w:space="0" w:color="auto"/>
          </w:divBdr>
        </w:div>
        <w:div w:id="2051832302">
          <w:marLeft w:val="0"/>
          <w:marRight w:val="0"/>
          <w:marTop w:val="0"/>
          <w:marBottom w:val="0"/>
          <w:divBdr>
            <w:top w:val="none" w:sz="0" w:space="0" w:color="auto"/>
            <w:left w:val="none" w:sz="0" w:space="0" w:color="auto"/>
            <w:bottom w:val="none" w:sz="0" w:space="0" w:color="auto"/>
            <w:right w:val="none" w:sz="0" w:space="0" w:color="auto"/>
          </w:divBdr>
        </w:div>
        <w:div w:id="1161506376">
          <w:marLeft w:val="0"/>
          <w:marRight w:val="0"/>
          <w:marTop w:val="0"/>
          <w:marBottom w:val="0"/>
          <w:divBdr>
            <w:top w:val="none" w:sz="0" w:space="0" w:color="auto"/>
            <w:left w:val="none" w:sz="0" w:space="0" w:color="auto"/>
            <w:bottom w:val="none" w:sz="0" w:space="0" w:color="auto"/>
            <w:right w:val="none" w:sz="0" w:space="0" w:color="auto"/>
          </w:divBdr>
        </w:div>
        <w:div w:id="171072697">
          <w:marLeft w:val="0"/>
          <w:marRight w:val="0"/>
          <w:marTop w:val="0"/>
          <w:marBottom w:val="0"/>
          <w:divBdr>
            <w:top w:val="none" w:sz="0" w:space="0" w:color="auto"/>
            <w:left w:val="none" w:sz="0" w:space="0" w:color="auto"/>
            <w:bottom w:val="none" w:sz="0" w:space="0" w:color="auto"/>
            <w:right w:val="none" w:sz="0" w:space="0" w:color="auto"/>
          </w:divBdr>
        </w:div>
        <w:div w:id="1039360824">
          <w:marLeft w:val="0"/>
          <w:marRight w:val="0"/>
          <w:marTop w:val="0"/>
          <w:marBottom w:val="0"/>
          <w:divBdr>
            <w:top w:val="none" w:sz="0" w:space="0" w:color="auto"/>
            <w:left w:val="none" w:sz="0" w:space="0" w:color="auto"/>
            <w:bottom w:val="none" w:sz="0" w:space="0" w:color="auto"/>
            <w:right w:val="none" w:sz="0" w:space="0" w:color="auto"/>
          </w:divBdr>
        </w:div>
        <w:div w:id="2096628881">
          <w:marLeft w:val="0"/>
          <w:marRight w:val="0"/>
          <w:marTop w:val="0"/>
          <w:marBottom w:val="0"/>
          <w:divBdr>
            <w:top w:val="none" w:sz="0" w:space="0" w:color="auto"/>
            <w:left w:val="none" w:sz="0" w:space="0" w:color="auto"/>
            <w:bottom w:val="none" w:sz="0" w:space="0" w:color="auto"/>
            <w:right w:val="none" w:sz="0" w:space="0" w:color="auto"/>
          </w:divBdr>
        </w:div>
        <w:div w:id="641158092">
          <w:marLeft w:val="0"/>
          <w:marRight w:val="0"/>
          <w:marTop w:val="0"/>
          <w:marBottom w:val="0"/>
          <w:divBdr>
            <w:top w:val="none" w:sz="0" w:space="0" w:color="auto"/>
            <w:left w:val="none" w:sz="0" w:space="0" w:color="auto"/>
            <w:bottom w:val="none" w:sz="0" w:space="0" w:color="auto"/>
            <w:right w:val="none" w:sz="0" w:space="0" w:color="auto"/>
          </w:divBdr>
        </w:div>
        <w:div w:id="1963993335">
          <w:marLeft w:val="0"/>
          <w:marRight w:val="0"/>
          <w:marTop w:val="0"/>
          <w:marBottom w:val="0"/>
          <w:divBdr>
            <w:top w:val="none" w:sz="0" w:space="0" w:color="auto"/>
            <w:left w:val="none" w:sz="0" w:space="0" w:color="auto"/>
            <w:bottom w:val="none" w:sz="0" w:space="0" w:color="auto"/>
            <w:right w:val="none" w:sz="0" w:space="0" w:color="auto"/>
          </w:divBdr>
        </w:div>
        <w:div w:id="850334059">
          <w:marLeft w:val="0"/>
          <w:marRight w:val="0"/>
          <w:marTop w:val="0"/>
          <w:marBottom w:val="0"/>
          <w:divBdr>
            <w:top w:val="none" w:sz="0" w:space="0" w:color="auto"/>
            <w:left w:val="none" w:sz="0" w:space="0" w:color="auto"/>
            <w:bottom w:val="none" w:sz="0" w:space="0" w:color="auto"/>
            <w:right w:val="none" w:sz="0" w:space="0" w:color="auto"/>
          </w:divBdr>
        </w:div>
        <w:div w:id="816872263">
          <w:marLeft w:val="0"/>
          <w:marRight w:val="0"/>
          <w:marTop w:val="0"/>
          <w:marBottom w:val="0"/>
          <w:divBdr>
            <w:top w:val="none" w:sz="0" w:space="0" w:color="auto"/>
            <w:left w:val="none" w:sz="0" w:space="0" w:color="auto"/>
            <w:bottom w:val="none" w:sz="0" w:space="0" w:color="auto"/>
            <w:right w:val="none" w:sz="0" w:space="0" w:color="auto"/>
          </w:divBdr>
        </w:div>
        <w:div w:id="1870752194">
          <w:marLeft w:val="0"/>
          <w:marRight w:val="0"/>
          <w:marTop w:val="0"/>
          <w:marBottom w:val="0"/>
          <w:divBdr>
            <w:top w:val="none" w:sz="0" w:space="0" w:color="auto"/>
            <w:left w:val="none" w:sz="0" w:space="0" w:color="auto"/>
            <w:bottom w:val="none" w:sz="0" w:space="0" w:color="auto"/>
            <w:right w:val="none" w:sz="0" w:space="0" w:color="auto"/>
          </w:divBdr>
        </w:div>
        <w:div w:id="1588882195">
          <w:marLeft w:val="0"/>
          <w:marRight w:val="0"/>
          <w:marTop w:val="0"/>
          <w:marBottom w:val="0"/>
          <w:divBdr>
            <w:top w:val="none" w:sz="0" w:space="0" w:color="auto"/>
            <w:left w:val="none" w:sz="0" w:space="0" w:color="auto"/>
            <w:bottom w:val="none" w:sz="0" w:space="0" w:color="auto"/>
            <w:right w:val="none" w:sz="0" w:space="0" w:color="auto"/>
          </w:divBdr>
        </w:div>
        <w:div w:id="1711765570">
          <w:marLeft w:val="0"/>
          <w:marRight w:val="0"/>
          <w:marTop w:val="0"/>
          <w:marBottom w:val="0"/>
          <w:divBdr>
            <w:top w:val="none" w:sz="0" w:space="0" w:color="auto"/>
            <w:left w:val="none" w:sz="0" w:space="0" w:color="auto"/>
            <w:bottom w:val="none" w:sz="0" w:space="0" w:color="auto"/>
            <w:right w:val="none" w:sz="0" w:space="0" w:color="auto"/>
          </w:divBdr>
        </w:div>
        <w:div w:id="597905636">
          <w:marLeft w:val="0"/>
          <w:marRight w:val="0"/>
          <w:marTop w:val="0"/>
          <w:marBottom w:val="0"/>
          <w:divBdr>
            <w:top w:val="none" w:sz="0" w:space="0" w:color="auto"/>
            <w:left w:val="none" w:sz="0" w:space="0" w:color="auto"/>
            <w:bottom w:val="none" w:sz="0" w:space="0" w:color="auto"/>
            <w:right w:val="none" w:sz="0" w:space="0" w:color="auto"/>
          </w:divBdr>
        </w:div>
        <w:div w:id="1557861963">
          <w:marLeft w:val="0"/>
          <w:marRight w:val="0"/>
          <w:marTop w:val="0"/>
          <w:marBottom w:val="0"/>
          <w:divBdr>
            <w:top w:val="none" w:sz="0" w:space="0" w:color="auto"/>
            <w:left w:val="none" w:sz="0" w:space="0" w:color="auto"/>
            <w:bottom w:val="none" w:sz="0" w:space="0" w:color="auto"/>
            <w:right w:val="none" w:sz="0" w:space="0" w:color="auto"/>
          </w:divBdr>
        </w:div>
        <w:div w:id="1341589919">
          <w:marLeft w:val="0"/>
          <w:marRight w:val="0"/>
          <w:marTop w:val="0"/>
          <w:marBottom w:val="0"/>
          <w:divBdr>
            <w:top w:val="none" w:sz="0" w:space="0" w:color="auto"/>
            <w:left w:val="none" w:sz="0" w:space="0" w:color="auto"/>
            <w:bottom w:val="none" w:sz="0" w:space="0" w:color="auto"/>
            <w:right w:val="none" w:sz="0" w:space="0" w:color="auto"/>
          </w:divBdr>
        </w:div>
        <w:div w:id="427779578">
          <w:marLeft w:val="0"/>
          <w:marRight w:val="0"/>
          <w:marTop w:val="0"/>
          <w:marBottom w:val="0"/>
          <w:divBdr>
            <w:top w:val="none" w:sz="0" w:space="0" w:color="auto"/>
            <w:left w:val="none" w:sz="0" w:space="0" w:color="auto"/>
            <w:bottom w:val="none" w:sz="0" w:space="0" w:color="auto"/>
            <w:right w:val="none" w:sz="0" w:space="0" w:color="auto"/>
          </w:divBdr>
        </w:div>
        <w:div w:id="1577594472">
          <w:marLeft w:val="0"/>
          <w:marRight w:val="0"/>
          <w:marTop w:val="0"/>
          <w:marBottom w:val="0"/>
          <w:divBdr>
            <w:top w:val="none" w:sz="0" w:space="0" w:color="auto"/>
            <w:left w:val="none" w:sz="0" w:space="0" w:color="auto"/>
            <w:bottom w:val="none" w:sz="0" w:space="0" w:color="auto"/>
            <w:right w:val="none" w:sz="0" w:space="0" w:color="auto"/>
          </w:divBdr>
        </w:div>
        <w:div w:id="1733387238">
          <w:marLeft w:val="0"/>
          <w:marRight w:val="0"/>
          <w:marTop w:val="0"/>
          <w:marBottom w:val="0"/>
          <w:divBdr>
            <w:top w:val="none" w:sz="0" w:space="0" w:color="auto"/>
            <w:left w:val="none" w:sz="0" w:space="0" w:color="auto"/>
            <w:bottom w:val="none" w:sz="0" w:space="0" w:color="auto"/>
            <w:right w:val="none" w:sz="0" w:space="0" w:color="auto"/>
          </w:divBdr>
        </w:div>
        <w:div w:id="538275509">
          <w:marLeft w:val="0"/>
          <w:marRight w:val="0"/>
          <w:marTop w:val="0"/>
          <w:marBottom w:val="0"/>
          <w:divBdr>
            <w:top w:val="none" w:sz="0" w:space="0" w:color="auto"/>
            <w:left w:val="none" w:sz="0" w:space="0" w:color="auto"/>
            <w:bottom w:val="none" w:sz="0" w:space="0" w:color="auto"/>
            <w:right w:val="none" w:sz="0" w:space="0" w:color="auto"/>
          </w:divBdr>
        </w:div>
        <w:div w:id="805706593">
          <w:marLeft w:val="0"/>
          <w:marRight w:val="0"/>
          <w:marTop w:val="0"/>
          <w:marBottom w:val="0"/>
          <w:divBdr>
            <w:top w:val="none" w:sz="0" w:space="0" w:color="auto"/>
            <w:left w:val="none" w:sz="0" w:space="0" w:color="auto"/>
            <w:bottom w:val="none" w:sz="0" w:space="0" w:color="auto"/>
            <w:right w:val="none" w:sz="0" w:space="0" w:color="auto"/>
          </w:divBdr>
        </w:div>
        <w:div w:id="1960717329">
          <w:marLeft w:val="0"/>
          <w:marRight w:val="0"/>
          <w:marTop w:val="0"/>
          <w:marBottom w:val="0"/>
          <w:divBdr>
            <w:top w:val="none" w:sz="0" w:space="0" w:color="auto"/>
            <w:left w:val="none" w:sz="0" w:space="0" w:color="auto"/>
            <w:bottom w:val="none" w:sz="0" w:space="0" w:color="auto"/>
            <w:right w:val="none" w:sz="0" w:space="0" w:color="auto"/>
          </w:divBdr>
        </w:div>
        <w:div w:id="667946312">
          <w:marLeft w:val="0"/>
          <w:marRight w:val="0"/>
          <w:marTop w:val="0"/>
          <w:marBottom w:val="0"/>
          <w:divBdr>
            <w:top w:val="none" w:sz="0" w:space="0" w:color="auto"/>
            <w:left w:val="none" w:sz="0" w:space="0" w:color="auto"/>
            <w:bottom w:val="none" w:sz="0" w:space="0" w:color="auto"/>
            <w:right w:val="none" w:sz="0" w:space="0" w:color="auto"/>
          </w:divBdr>
        </w:div>
        <w:div w:id="56053185">
          <w:marLeft w:val="0"/>
          <w:marRight w:val="0"/>
          <w:marTop w:val="0"/>
          <w:marBottom w:val="0"/>
          <w:divBdr>
            <w:top w:val="none" w:sz="0" w:space="0" w:color="auto"/>
            <w:left w:val="none" w:sz="0" w:space="0" w:color="auto"/>
            <w:bottom w:val="none" w:sz="0" w:space="0" w:color="auto"/>
            <w:right w:val="none" w:sz="0" w:space="0" w:color="auto"/>
          </w:divBdr>
        </w:div>
        <w:div w:id="127862747">
          <w:marLeft w:val="0"/>
          <w:marRight w:val="0"/>
          <w:marTop w:val="0"/>
          <w:marBottom w:val="0"/>
          <w:divBdr>
            <w:top w:val="none" w:sz="0" w:space="0" w:color="auto"/>
            <w:left w:val="none" w:sz="0" w:space="0" w:color="auto"/>
            <w:bottom w:val="none" w:sz="0" w:space="0" w:color="auto"/>
            <w:right w:val="none" w:sz="0" w:space="0" w:color="auto"/>
          </w:divBdr>
        </w:div>
        <w:div w:id="1881819864">
          <w:marLeft w:val="0"/>
          <w:marRight w:val="0"/>
          <w:marTop w:val="0"/>
          <w:marBottom w:val="0"/>
          <w:divBdr>
            <w:top w:val="none" w:sz="0" w:space="0" w:color="auto"/>
            <w:left w:val="none" w:sz="0" w:space="0" w:color="auto"/>
            <w:bottom w:val="none" w:sz="0" w:space="0" w:color="auto"/>
            <w:right w:val="none" w:sz="0" w:space="0" w:color="auto"/>
          </w:divBdr>
        </w:div>
        <w:div w:id="1854832098">
          <w:marLeft w:val="0"/>
          <w:marRight w:val="0"/>
          <w:marTop w:val="0"/>
          <w:marBottom w:val="0"/>
          <w:divBdr>
            <w:top w:val="none" w:sz="0" w:space="0" w:color="auto"/>
            <w:left w:val="none" w:sz="0" w:space="0" w:color="auto"/>
            <w:bottom w:val="none" w:sz="0" w:space="0" w:color="auto"/>
            <w:right w:val="none" w:sz="0" w:space="0" w:color="auto"/>
          </w:divBdr>
        </w:div>
        <w:div w:id="1750886811">
          <w:marLeft w:val="0"/>
          <w:marRight w:val="0"/>
          <w:marTop w:val="0"/>
          <w:marBottom w:val="0"/>
          <w:divBdr>
            <w:top w:val="none" w:sz="0" w:space="0" w:color="auto"/>
            <w:left w:val="none" w:sz="0" w:space="0" w:color="auto"/>
            <w:bottom w:val="none" w:sz="0" w:space="0" w:color="auto"/>
            <w:right w:val="none" w:sz="0" w:space="0" w:color="auto"/>
          </w:divBdr>
        </w:div>
        <w:div w:id="392001611">
          <w:marLeft w:val="0"/>
          <w:marRight w:val="0"/>
          <w:marTop w:val="0"/>
          <w:marBottom w:val="0"/>
          <w:divBdr>
            <w:top w:val="none" w:sz="0" w:space="0" w:color="auto"/>
            <w:left w:val="none" w:sz="0" w:space="0" w:color="auto"/>
            <w:bottom w:val="none" w:sz="0" w:space="0" w:color="auto"/>
            <w:right w:val="none" w:sz="0" w:space="0" w:color="auto"/>
          </w:divBdr>
        </w:div>
        <w:div w:id="310715998">
          <w:marLeft w:val="0"/>
          <w:marRight w:val="0"/>
          <w:marTop w:val="0"/>
          <w:marBottom w:val="0"/>
          <w:divBdr>
            <w:top w:val="none" w:sz="0" w:space="0" w:color="auto"/>
            <w:left w:val="none" w:sz="0" w:space="0" w:color="auto"/>
            <w:bottom w:val="none" w:sz="0" w:space="0" w:color="auto"/>
            <w:right w:val="none" w:sz="0" w:space="0" w:color="auto"/>
          </w:divBdr>
        </w:div>
        <w:div w:id="1933275026">
          <w:marLeft w:val="0"/>
          <w:marRight w:val="0"/>
          <w:marTop w:val="0"/>
          <w:marBottom w:val="0"/>
          <w:divBdr>
            <w:top w:val="none" w:sz="0" w:space="0" w:color="auto"/>
            <w:left w:val="none" w:sz="0" w:space="0" w:color="auto"/>
            <w:bottom w:val="none" w:sz="0" w:space="0" w:color="auto"/>
            <w:right w:val="none" w:sz="0" w:space="0" w:color="auto"/>
          </w:divBdr>
        </w:div>
        <w:div w:id="1812136198">
          <w:marLeft w:val="0"/>
          <w:marRight w:val="0"/>
          <w:marTop w:val="0"/>
          <w:marBottom w:val="0"/>
          <w:divBdr>
            <w:top w:val="none" w:sz="0" w:space="0" w:color="auto"/>
            <w:left w:val="none" w:sz="0" w:space="0" w:color="auto"/>
            <w:bottom w:val="none" w:sz="0" w:space="0" w:color="auto"/>
            <w:right w:val="none" w:sz="0" w:space="0" w:color="auto"/>
          </w:divBdr>
        </w:div>
        <w:div w:id="1339311116">
          <w:marLeft w:val="0"/>
          <w:marRight w:val="0"/>
          <w:marTop w:val="0"/>
          <w:marBottom w:val="0"/>
          <w:divBdr>
            <w:top w:val="none" w:sz="0" w:space="0" w:color="auto"/>
            <w:left w:val="none" w:sz="0" w:space="0" w:color="auto"/>
            <w:bottom w:val="none" w:sz="0" w:space="0" w:color="auto"/>
            <w:right w:val="none" w:sz="0" w:space="0" w:color="auto"/>
          </w:divBdr>
        </w:div>
        <w:div w:id="398021489">
          <w:marLeft w:val="0"/>
          <w:marRight w:val="0"/>
          <w:marTop w:val="0"/>
          <w:marBottom w:val="0"/>
          <w:divBdr>
            <w:top w:val="none" w:sz="0" w:space="0" w:color="auto"/>
            <w:left w:val="none" w:sz="0" w:space="0" w:color="auto"/>
            <w:bottom w:val="none" w:sz="0" w:space="0" w:color="auto"/>
            <w:right w:val="none" w:sz="0" w:space="0" w:color="auto"/>
          </w:divBdr>
        </w:div>
        <w:div w:id="630403000">
          <w:marLeft w:val="0"/>
          <w:marRight w:val="0"/>
          <w:marTop w:val="0"/>
          <w:marBottom w:val="0"/>
          <w:divBdr>
            <w:top w:val="none" w:sz="0" w:space="0" w:color="auto"/>
            <w:left w:val="none" w:sz="0" w:space="0" w:color="auto"/>
            <w:bottom w:val="none" w:sz="0" w:space="0" w:color="auto"/>
            <w:right w:val="none" w:sz="0" w:space="0" w:color="auto"/>
          </w:divBdr>
        </w:div>
        <w:div w:id="1010447792">
          <w:marLeft w:val="0"/>
          <w:marRight w:val="0"/>
          <w:marTop w:val="0"/>
          <w:marBottom w:val="0"/>
          <w:divBdr>
            <w:top w:val="none" w:sz="0" w:space="0" w:color="auto"/>
            <w:left w:val="none" w:sz="0" w:space="0" w:color="auto"/>
            <w:bottom w:val="none" w:sz="0" w:space="0" w:color="auto"/>
            <w:right w:val="none" w:sz="0" w:space="0" w:color="auto"/>
          </w:divBdr>
        </w:div>
        <w:div w:id="827555806">
          <w:marLeft w:val="0"/>
          <w:marRight w:val="0"/>
          <w:marTop w:val="0"/>
          <w:marBottom w:val="0"/>
          <w:divBdr>
            <w:top w:val="none" w:sz="0" w:space="0" w:color="auto"/>
            <w:left w:val="none" w:sz="0" w:space="0" w:color="auto"/>
            <w:bottom w:val="none" w:sz="0" w:space="0" w:color="auto"/>
            <w:right w:val="none" w:sz="0" w:space="0" w:color="auto"/>
          </w:divBdr>
        </w:div>
        <w:div w:id="315886554">
          <w:marLeft w:val="0"/>
          <w:marRight w:val="0"/>
          <w:marTop w:val="0"/>
          <w:marBottom w:val="0"/>
          <w:divBdr>
            <w:top w:val="none" w:sz="0" w:space="0" w:color="auto"/>
            <w:left w:val="none" w:sz="0" w:space="0" w:color="auto"/>
            <w:bottom w:val="none" w:sz="0" w:space="0" w:color="auto"/>
            <w:right w:val="none" w:sz="0" w:space="0" w:color="auto"/>
          </w:divBdr>
        </w:div>
        <w:div w:id="1054355491">
          <w:marLeft w:val="0"/>
          <w:marRight w:val="0"/>
          <w:marTop w:val="0"/>
          <w:marBottom w:val="0"/>
          <w:divBdr>
            <w:top w:val="none" w:sz="0" w:space="0" w:color="auto"/>
            <w:left w:val="none" w:sz="0" w:space="0" w:color="auto"/>
            <w:bottom w:val="none" w:sz="0" w:space="0" w:color="auto"/>
            <w:right w:val="none" w:sz="0" w:space="0" w:color="auto"/>
          </w:divBdr>
        </w:div>
        <w:div w:id="888033861">
          <w:marLeft w:val="0"/>
          <w:marRight w:val="0"/>
          <w:marTop w:val="0"/>
          <w:marBottom w:val="0"/>
          <w:divBdr>
            <w:top w:val="none" w:sz="0" w:space="0" w:color="auto"/>
            <w:left w:val="none" w:sz="0" w:space="0" w:color="auto"/>
            <w:bottom w:val="none" w:sz="0" w:space="0" w:color="auto"/>
            <w:right w:val="none" w:sz="0" w:space="0" w:color="auto"/>
          </w:divBdr>
        </w:div>
        <w:div w:id="1081373242">
          <w:marLeft w:val="0"/>
          <w:marRight w:val="0"/>
          <w:marTop w:val="0"/>
          <w:marBottom w:val="0"/>
          <w:divBdr>
            <w:top w:val="none" w:sz="0" w:space="0" w:color="auto"/>
            <w:left w:val="none" w:sz="0" w:space="0" w:color="auto"/>
            <w:bottom w:val="none" w:sz="0" w:space="0" w:color="auto"/>
            <w:right w:val="none" w:sz="0" w:space="0" w:color="auto"/>
          </w:divBdr>
        </w:div>
        <w:div w:id="906064827">
          <w:marLeft w:val="0"/>
          <w:marRight w:val="0"/>
          <w:marTop w:val="0"/>
          <w:marBottom w:val="0"/>
          <w:divBdr>
            <w:top w:val="none" w:sz="0" w:space="0" w:color="auto"/>
            <w:left w:val="none" w:sz="0" w:space="0" w:color="auto"/>
            <w:bottom w:val="none" w:sz="0" w:space="0" w:color="auto"/>
            <w:right w:val="none" w:sz="0" w:space="0" w:color="auto"/>
          </w:divBdr>
        </w:div>
        <w:div w:id="146439919">
          <w:marLeft w:val="0"/>
          <w:marRight w:val="0"/>
          <w:marTop w:val="0"/>
          <w:marBottom w:val="0"/>
          <w:divBdr>
            <w:top w:val="none" w:sz="0" w:space="0" w:color="auto"/>
            <w:left w:val="none" w:sz="0" w:space="0" w:color="auto"/>
            <w:bottom w:val="none" w:sz="0" w:space="0" w:color="auto"/>
            <w:right w:val="none" w:sz="0" w:space="0" w:color="auto"/>
          </w:divBdr>
        </w:div>
        <w:div w:id="947354172">
          <w:marLeft w:val="0"/>
          <w:marRight w:val="0"/>
          <w:marTop w:val="0"/>
          <w:marBottom w:val="0"/>
          <w:divBdr>
            <w:top w:val="none" w:sz="0" w:space="0" w:color="auto"/>
            <w:left w:val="none" w:sz="0" w:space="0" w:color="auto"/>
            <w:bottom w:val="none" w:sz="0" w:space="0" w:color="auto"/>
            <w:right w:val="none" w:sz="0" w:space="0" w:color="auto"/>
          </w:divBdr>
        </w:div>
        <w:div w:id="1944997070">
          <w:marLeft w:val="0"/>
          <w:marRight w:val="0"/>
          <w:marTop w:val="0"/>
          <w:marBottom w:val="0"/>
          <w:divBdr>
            <w:top w:val="none" w:sz="0" w:space="0" w:color="auto"/>
            <w:left w:val="none" w:sz="0" w:space="0" w:color="auto"/>
            <w:bottom w:val="none" w:sz="0" w:space="0" w:color="auto"/>
            <w:right w:val="none" w:sz="0" w:space="0" w:color="auto"/>
          </w:divBdr>
        </w:div>
      </w:divsChild>
    </w:div>
    <w:div w:id="1220092859">
      <w:bodyDiv w:val="1"/>
      <w:marLeft w:val="0"/>
      <w:marRight w:val="0"/>
      <w:marTop w:val="0"/>
      <w:marBottom w:val="0"/>
      <w:divBdr>
        <w:top w:val="none" w:sz="0" w:space="0" w:color="auto"/>
        <w:left w:val="none" w:sz="0" w:space="0" w:color="auto"/>
        <w:bottom w:val="none" w:sz="0" w:space="0" w:color="auto"/>
        <w:right w:val="none" w:sz="0" w:space="0" w:color="auto"/>
      </w:divBdr>
    </w:div>
    <w:div w:id="168239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3" ma:contentTypeDescription="Crear nuevo documento." ma:contentTypeScope="" ma:versionID="5ce307a3737c73d7fc56b8c56af85e2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423b5beffdcd85b5c8f742a4950b070b"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documentManagement>
</p:properties>
</file>

<file path=customXml/itemProps1.xml><?xml version="1.0" encoding="utf-8"?>
<ds:datastoreItem xmlns:ds="http://schemas.openxmlformats.org/officeDocument/2006/customXml" ds:itemID="{474B571C-F60A-4491-BB65-D07DCF6D7D1F}">
  <ds:schemaRefs>
    <ds:schemaRef ds:uri="http://schemas.microsoft.com/sharepoint/v3/contenttype/forms"/>
  </ds:schemaRefs>
</ds:datastoreItem>
</file>

<file path=customXml/itemProps2.xml><?xml version="1.0" encoding="utf-8"?>
<ds:datastoreItem xmlns:ds="http://schemas.openxmlformats.org/officeDocument/2006/customXml" ds:itemID="{612F8D23-64E7-4427-B052-6070E6E19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1DABAE-F1F9-45C5-97BD-CC75000C47D1}">
  <ds:schemaRefs>
    <ds:schemaRef ds:uri="http://schemas.openxmlformats.org/officeDocument/2006/bibliography"/>
  </ds:schemaRefs>
</ds:datastoreItem>
</file>

<file path=customXml/itemProps4.xml><?xml version="1.0" encoding="utf-8"?>
<ds:datastoreItem xmlns:ds="http://schemas.openxmlformats.org/officeDocument/2006/customXml" ds:itemID="{7373AC6F-D80D-4917-8227-16B8BA615C5C}">
  <ds:schemaRefs>
    <ds:schemaRef ds:uri="http://schemas.microsoft.com/office/2006/metadata/properties"/>
    <ds:schemaRef ds:uri="http://schemas.microsoft.com/office/infopath/2007/PartnerControls"/>
    <ds:schemaRef ds:uri="9d85dbaf-23eb-4e57-a637-93dcacc8b1a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2737</Words>
  <Characters>15057</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Mario Castrillón Endo</dc:creator>
  <cp:keywords/>
  <dc:description/>
  <cp:lastModifiedBy>contratacione en linea</cp:lastModifiedBy>
  <cp:revision>2</cp:revision>
  <dcterms:created xsi:type="dcterms:W3CDTF">2021-07-01T21:11:00Z</dcterms:created>
  <dcterms:modified xsi:type="dcterms:W3CDTF">2021-07-01T21:11:00Z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